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41D04" w14:textId="77777777" w:rsidR="0055110B" w:rsidRPr="0055110B" w:rsidRDefault="0055110B" w:rsidP="0055110B">
      <w:pPr>
        <w:shd w:val="clear" w:color="auto" w:fill="FFFFFF"/>
        <w:spacing w:after="158"/>
        <w:rPr>
          <w:rFonts w:ascii="Times" w:eastAsia="Times New Roman" w:hAnsi="Times" w:cs="Times New Roman"/>
          <w:b/>
          <w:bCs/>
          <w:color w:val="D9855B"/>
          <w:sz w:val="23"/>
          <w:szCs w:val="23"/>
        </w:rPr>
      </w:pPr>
      <w:r w:rsidRPr="0055110B">
        <w:rPr>
          <w:rFonts w:ascii="Times" w:eastAsia="Times New Roman" w:hAnsi="Times" w:cs="Times New Roman"/>
          <w:b/>
          <w:bCs/>
          <w:color w:val="D9855B"/>
          <w:sz w:val="23"/>
          <w:szCs w:val="23"/>
        </w:rPr>
        <w:t>[Date]</w:t>
      </w:r>
      <w:r w:rsidRPr="0055110B">
        <w:rPr>
          <w:rFonts w:ascii="Times" w:eastAsia="Times New Roman" w:hAnsi="Times" w:cs="Times New Roman"/>
          <w:b/>
          <w:bCs/>
          <w:color w:val="D9855B"/>
          <w:sz w:val="23"/>
          <w:szCs w:val="23"/>
        </w:rPr>
        <w:br/>
      </w:r>
      <w:r w:rsidRPr="0055110B">
        <w:rPr>
          <w:rFonts w:ascii="Times" w:eastAsia="Times New Roman" w:hAnsi="Times" w:cs="Times New Roman"/>
          <w:b/>
          <w:bCs/>
          <w:color w:val="D9855B"/>
          <w:sz w:val="23"/>
          <w:szCs w:val="23"/>
        </w:rPr>
        <w:br/>
        <w:t>[Your Name]</w:t>
      </w:r>
      <w:r w:rsidRPr="0055110B">
        <w:rPr>
          <w:rFonts w:ascii="Times" w:eastAsia="Times New Roman" w:hAnsi="Times" w:cs="Times New Roman"/>
          <w:b/>
          <w:bCs/>
          <w:color w:val="D9855B"/>
          <w:sz w:val="23"/>
          <w:szCs w:val="23"/>
        </w:rPr>
        <w:br/>
        <w:t>[Your Address]</w:t>
      </w:r>
      <w:r w:rsidRPr="0055110B">
        <w:rPr>
          <w:rFonts w:ascii="Times" w:eastAsia="Times New Roman" w:hAnsi="Times" w:cs="Times New Roman"/>
          <w:b/>
          <w:bCs/>
          <w:color w:val="D9855B"/>
          <w:sz w:val="23"/>
          <w:szCs w:val="23"/>
        </w:rPr>
        <w:br/>
        <w:t>[Your City, State, Zip Code]</w:t>
      </w:r>
    </w:p>
    <w:p w14:paraId="4A4A1B50" w14:textId="77777777" w:rsidR="0055110B" w:rsidRPr="0055110B" w:rsidRDefault="0055110B" w:rsidP="0055110B">
      <w:pPr>
        <w:shd w:val="clear" w:color="auto" w:fill="FFFFFF"/>
        <w:spacing w:after="158"/>
        <w:rPr>
          <w:rFonts w:ascii="Times" w:eastAsia="Times New Roman" w:hAnsi="Times" w:cs="Times New Roman"/>
          <w:b/>
          <w:bCs/>
          <w:color w:val="D9855B"/>
          <w:sz w:val="23"/>
          <w:szCs w:val="23"/>
        </w:rPr>
      </w:pPr>
      <w:r w:rsidRPr="0055110B">
        <w:rPr>
          <w:rFonts w:ascii="Times" w:eastAsia="Times New Roman" w:hAnsi="Times" w:cs="Times New Roman"/>
          <w:b/>
          <w:bCs/>
          <w:color w:val="D9855B"/>
          <w:sz w:val="23"/>
          <w:szCs w:val="23"/>
        </w:rPr>
        <w:t>[Name of Credit Collection Company]</w:t>
      </w:r>
      <w:r w:rsidRPr="0055110B">
        <w:rPr>
          <w:rFonts w:ascii="Times" w:eastAsia="Times New Roman" w:hAnsi="Times" w:cs="Times New Roman"/>
          <w:b/>
          <w:bCs/>
          <w:color w:val="D9855B"/>
          <w:sz w:val="23"/>
          <w:szCs w:val="23"/>
        </w:rPr>
        <w:br/>
        <w:t>[Company Address]</w:t>
      </w:r>
      <w:r w:rsidRPr="0055110B">
        <w:rPr>
          <w:rFonts w:ascii="Times" w:eastAsia="Times New Roman" w:hAnsi="Times" w:cs="Times New Roman"/>
          <w:b/>
          <w:bCs/>
          <w:color w:val="D9855B"/>
          <w:sz w:val="23"/>
          <w:szCs w:val="23"/>
        </w:rPr>
        <w:br/>
        <w:t>[City, State, Zip Code]</w:t>
      </w:r>
    </w:p>
    <w:p w14:paraId="1806A561" w14:textId="77777777" w:rsidR="0055110B" w:rsidRPr="0055110B" w:rsidRDefault="0055110B" w:rsidP="0055110B">
      <w:pPr>
        <w:shd w:val="clear" w:color="auto" w:fill="FFFFFF"/>
        <w:spacing w:after="158"/>
        <w:rPr>
          <w:rFonts w:ascii="Times" w:eastAsia="Times New Roman" w:hAnsi="Times" w:cs="Times New Roman"/>
          <w:b/>
          <w:bCs/>
          <w:color w:val="D9855B"/>
          <w:sz w:val="23"/>
          <w:szCs w:val="23"/>
        </w:rPr>
      </w:pPr>
      <w:r w:rsidRPr="0055110B">
        <w:rPr>
          <w:rFonts w:ascii="Times" w:eastAsia="Times New Roman" w:hAnsi="Times" w:cs="Times New Roman"/>
          <w:b/>
          <w:bCs/>
          <w:color w:val="D9855B"/>
          <w:sz w:val="23"/>
          <w:szCs w:val="23"/>
        </w:rPr>
        <w:t>[RE: Your Account Number (if known)]</w:t>
      </w:r>
    </w:p>
    <w:p w14:paraId="5203417F" w14:textId="3FA229CF" w:rsidR="0055110B" w:rsidRPr="0055110B" w:rsidRDefault="0055110B" w:rsidP="0055110B">
      <w:pPr>
        <w:shd w:val="clear" w:color="auto" w:fill="FFFFFF"/>
        <w:spacing w:after="158"/>
        <w:rPr>
          <w:rFonts w:ascii="Times" w:eastAsia="Times New Roman" w:hAnsi="Times" w:cs="Times New Roman"/>
          <w:color w:val="000000"/>
          <w:sz w:val="23"/>
          <w:szCs w:val="23"/>
        </w:rPr>
      </w:pPr>
      <w:r w:rsidRPr="0055110B">
        <w:rPr>
          <w:rFonts w:ascii="Times" w:eastAsia="Times New Roman" w:hAnsi="Times" w:cs="Times New Roman"/>
          <w:color w:val="000000"/>
          <w:sz w:val="23"/>
          <w:szCs w:val="23"/>
        </w:rPr>
        <w:t>I am a victim of identity theft. An identity thief used my personal information without my permission to open an account and make purchases with </w:t>
      </w:r>
      <w:r w:rsidRPr="0055110B">
        <w:rPr>
          <w:rFonts w:ascii="Times" w:eastAsia="Times New Roman" w:hAnsi="Times" w:cs="Times New Roman"/>
          <w:b/>
          <w:bCs/>
          <w:color w:val="D9855B"/>
          <w:sz w:val="23"/>
          <w:szCs w:val="23"/>
        </w:rPr>
        <w:t>[name of business where account was opened]</w:t>
      </w:r>
      <w:r w:rsidRPr="0055110B">
        <w:rPr>
          <w:rFonts w:ascii="Times" w:eastAsia="Times New Roman" w:hAnsi="Times" w:cs="Times New Roman"/>
          <w:color w:val="000000"/>
          <w:sz w:val="23"/>
          <w:szCs w:val="23"/>
        </w:rPr>
        <w:t xml:space="preserve">. This debt is not mine. I have enclosed proof of my identity and a copy of my </w:t>
      </w:r>
      <w:r w:rsidR="00EC485E">
        <w:rPr>
          <w:rFonts w:ascii="Times" w:eastAsia="Times New Roman" w:hAnsi="Times" w:cs="Times New Roman"/>
          <w:color w:val="000000"/>
          <w:sz w:val="23"/>
          <w:szCs w:val="23"/>
        </w:rPr>
        <w:t>Police</w:t>
      </w:r>
      <w:r w:rsidRPr="0055110B">
        <w:rPr>
          <w:rFonts w:ascii="Times" w:eastAsia="Times New Roman" w:hAnsi="Times" w:cs="Times New Roman"/>
          <w:color w:val="000000"/>
          <w:sz w:val="23"/>
          <w:szCs w:val="23"/>
        </w:rPr>
        <w:t xml:space="preserve"> Identity Theft Report.</w:t>
      </w:r>
    </w:p>
    <w:p w14:paraId="61F47502" w14:textId="77777777" w:rsidR="0055110B" w:rsidRPr="0055110B" w:rsidRDefault="0055110B" w:rsidP="0055110B">
      <w:pPr>
        <w:shd w:val="clear" w:color="auto" w:fill="FFFFFF"/>
        <w:spacing w:after="158"/>
        <w:rPr>
          <w:rFonts w:ascii="Times" w:eastAsia="Times New Roman" w:hAnsi="Times" w:cs="Times New Roman"/>
          <w:color w:val="000000"/>
          <w:sz w:val="23"/>
          <w:szCs w:val="23"/>
        </w:rPr>
      </w:pPr>
      <w:r w:rsidRPr="0055110B">
        <w:rPr>
          <w:rFonts w:ascii="Times" w:eastAsia="Times New Roman" w:hAnsi="Times" w:cs="Times New Roman"/>
          <w:color w:val="000000"/>
          <w:sz w:val="23"/>
          <w:szCs w:val="23"/>
        </w:rPr>
        <w:t>In accordance with the Fair Debt Collection Practices Act, I am asking you to stop collection proceedings against me and stop communicating with me about this debt, except as the Fair Credit Reporting Act allows. I also ask that you notify </w:t>
      </w:r>
      <w:r w:rsidRPr="0055110B">
        <w:rPr>
          <w:rFonts w:ascii="Times" w:eastAsia="Times New Roman" w:hAnsi="Times" w:cs="Times New Roman"/>
          <w:b/>
          <w:bCs/>
          <w:color w:val="D9855B"/>
          <w:sz w:val="23"/>
          <w:szCs w:val="23"/>
        </w:rPr>
        <w:t>[the business where the account was opened]</w:t>
      </w:r>
      <w:r w:rsidRPr="0055110B">
        <w:rPr>
          <w:rFonts w:ascii="Times" w:eastAsia="Times New Roman" w:hAnsi="Times" w:cs="Times New Roman"/>
          <w:color w:val="000000"/>
          <w:sz w:val="23"/>
          <w:szCs w:val="23"/>
        </w:rPr>
        <w:t> and tell them the debt is the result of identity theft.</w:t>
      </w:r>
    </w:p>
    <w:p w14:paraId="7A39BFB0" w14:textId="77777777" w:rsidR="0055110B" w:rsidRPr="0055110B" w:rsidRDefault="0055110B" w:rsidP="0055110B">
      <w:pPr>
        <w:shd w:val="clear" w:color="auto" w:fill="FFFFFF"/>
        <w:spacing w:after="158"/>
        <w:rPr>
          <w:rFonts w:ascii="Times" w:eastAsia="Times New Roman" w:hAnsi="Times" w:cs="Times New Roman"/>
          <w:b/>
          <w:bCs/>
          <w:color w:val="D9855B"/>
          <w:sz w:val="23"/>
          <w:szCs w:val="23"/>
        </w:rPr>
      </w:pPr>
      <w:r w:rsidRPr="0055110B">
        <w:rPr>
          <w:rFonts w:ascii="Times" w:eastAsia="Times New Roman" w:hAnsi="Times" w:cs="Times New Roman"/>
          <w:b/>
          <w:bCs/>
          <w:color w:val="D9855B"/>
          <w:sz w:val="23"/>
          <w:szCs w:val="23"/>
        </w:rPr>
        <w:t>[Provide details about what happened. Include the dates and amounts of fraudulent transactions.]</w:t>
      </w:r>
    </w:p>
    <w:p w14:paraId="147BCDB5" w14:textId="77777777" w:rsidR="0055110B" w:rsidRPr="0055110B" w:rsidRDefault="0055110B" w:rsidP="0055110B">
      <w:pPr>
        <w:shd w:val="clear" w:color="auto" w:fill="FFFFFF"/>
        <w:spacing w:after="158"/>
        <w:rPr>
          <w:rFonts w:ascii="Times" w:eastAsia="Times New Roman" w:hAnsi="Times" w:cs="Times New Roman"/>
          <w:color w:val="000000"/>
          <w:sz w:val="23"/>
          <w:szCs w:val="23"/>
        </w:rPr>
      </w:pPr>
      <w:r w:rsidRPr="0055110B">
        <w:rPr>
          <w:rFonts w:ascii="Times" w:eastAsia="Times New Roman" w:hAnsi="Times" w:cs="Times New Roman"/>
          <w:color w:val="000000"/>
          <w:sz w:val="23"/>
          <w:szCs w:val="23"/>
        </w:rPr>
        <w:t>I have enclosed a copy of the Consumer Financial Protection Bureau’s Notice to Furnishers of Information. It explains your responsibilities under the Fair Credit Reporting Act (FCRA). The FCRA requires that debt collectors give an identity theft victim documents related to an account if the victim asks. Please send me copies of all records relating to the account, including:</w:t>
      </w:r>
    </w:p>
    <w:p w14:paraId="6C8F5B83" w14:textId="77777777" w:rsidR="0055110B" w:rsidRPr="0055110B" w:rsidRDefault="0055110B" w:rsidP="0055110B">
      <w:pPr>
        <w:numPr>
          <w:ilvl w:val="0"/>
          <w:numId w:val="1"/>
        </w:numPr>
        <w:shd w:val="clear" w:color="auto" w:fill="FFFFFF"/>
        <w:spacing w:before="100" w:beforeAutospacing="1" w:after="165"/>
        <w:rPr>
          <w:rFonts w:ascii="Times" w:eastAsia="Times New Roman" w:hAnsi="Times" w:cs="Times New Roman"/>
          <w:color w:val="000000"/>
          <w:sz w:val="23"/>
          <w:szCs w:val="23"/>
        </w:rPr>
      </w:pPr>
      <w:r w:rsidRPr="0055110B">
        <w:rPr>
          <w:rFonts w:ascii="Times" w:eastAsia="Times New Roman" w:hAnsi="Times" w:cs="Times New Roman"/>
          <w:color w:val="000000"/>
          <w:sz w:val="23"/>
          <w:szCs w:val="23"/>
        </w:rPr>
        <w:t>Account applications made on paper, online, or by telephone</w:t>
      </w:r>
    </w:p>
    <w:p w14:paraId="52B6AAB9" w14:textId="77777777" w:rsidR="0055110B" w:rsidRPr="0055110B" w:rsidRDefault="0055110B" w:rsidP="0055110B">
      <w:pPr>
        <w:numPr>
          <w:ilvl w:val="0"/>
          <w:numId w:val="1"/>
        </w:numPr>
        <w:shd w:val="clear" w:color="auto" w:fill="FFFFFF"/>
        <w:spacing w:before="100" w:beforeAutospacing="1" w:after="165"/>
        <w:rPr>
          <w:rFonts w:ascii="Times" w:eastAsia="Times New Roman" w:hAnsi="Times" w:cs="Times New Roman"/>
          <w:color w:val="000000"/>
          <w:sz w:val="23"/>
          <w:szCs w:val="23"/>
        </w:rPr>
      </w:pPr>
      <w:r w:rsidRPr="0055110B">
        <w:rPr>
          <w:rFonts w:ascii="Times" w:eastAsia="Times New Roman" w:hAnsi="Times" w:cs="Times New Roman"/>
          <w:color w:val="000000"/>
          <w:sz w:val="23"/>
          <w:szCs w:val="23"/>
        </w:rPr>
        <w:t>Account statements or invoices</w:t>
      </w:r>
    </w:p>
    <w:p w14:paraId="44C0580B" w14:textId="77777777" w:rsidR="0055110B" w:rsidRPr="0055110B" w:rsidRDefault="0055110B" w:rsidP="0055110B">
      <w:pPr>
        <w:numPr>
          <w:ilvl w:val="0"/>
          <w:numId w:val="1"/>
        </w:numPr>
        <w:shd w:val="clear" w:color="auto" w:fill="FFFFFF"/>
        <w:spacing w:before="100" w:beforeAutospacing="1" w:after="165"/>
        <w:rPr>
          <w:rFonts w:ascii="Times" w:eastAsia="Times New Roman" w:hAnsi="Times" w:cs="Times New Roman"/>
          <w:color w:val="000000"/>
          <w:sz w:val="23"/>
          <w:szCs w:val="23"/>
        </w:rPr>
      </w:pPr>
      <w:r w:rsidRPr="0055110B">
        <w:rPr>
          <w:rFonts w:ascii="Times" w:eastAsia="Times New Roman" w:hAnsi="Times" w:cs="Times New Roman"/>
          <w:color w:val="000000"/>
          <w:sz w:val="23"/>
          <w:szCs w:val="23"/>
        </w:rPr>
        <w:t>Records of payment or charge slips</w:t>
      </w:r>
    </w:p>
    <w:p w14:paraId="21FE79DC" w14:textId="77777777" w:rsidR="0055110B" w:rsidRPr="0055110B" w:rsidRDefault="0055110B" w:rsidP="0055110B">
      <w:pPr>
        <w:numPr>
          <w:ilvl w:val="0"/>
          <w:numId w:val="1"/>
        </w:numPr>
        <w:shd w:val="clear" w:color="auto" w:fill="FFFFFF"/>
        <w:spacing w:before="100" w:beforeAutospacing="1" w:after="165"/>
        <w:rPr>
          <w:rFonts w:ascii="Times" w:eastAsia="Times New Roman" w:hAnsi="Times" w:cs="Times New Roman"/>
          <w:color w:val="000000"/>
          <w:sz w:val="23"/>
          <w:szCs w:val="23"/>
        </w:rPr>
      </w:pPr>
      <w:r w:rsidRPr="0055110B">
        <w:rPr>
          <w:rFonts w:ascii="Times" w:eastAsia="Times New Roman" w:hAnsi="Times" w:cs="Times New Roman"/>
          <w:color w:val="000000"/>
          <w:sz w:val="23"/>
          <w:szCs w:val="23"/>
        </w:rPr>
        <w:t>Delivery addresses associated with the account</w:t>
      </w:r>
    </w:p>
    <w:p w14:paraId="3A95BAEC" w14:textId="77777777" w:rsidR="0055110B" w:rsidRPr="0055110B" w:rsidRDefault="0055110B" w:rsidP="0055110B">
      <w:pPr>
        <w:numPr>
          <w:ilvl w:val="0"/>
          <w:numId w:val="1"/>
        </w:numPr>
        <w:shd w:val="clear" w:color="auto" w:fill="FFFFFF"/>
        <w:spacing w:before="100" w:beforeAutospacing="1" w:after="165"/>
        <w:rPr>
          <w:rFonts w:ascii="Times" w:eastAsia="Times New Roman" w:hAnsi="Times" w:cs="Times New Roman"/>
          <w:color w:val="000000"/>
          <w:sz w:val="23"/>
          <w:szCs w:val="23"/>
        </w:rPr>
      </w:pPr>
      <w:r w:rsidRPr="0055110B">
        <w:rPr>
          <w:rFonts w:ascii="Times" w:eastAsia="Times New Roman" w:hAnsi="Times" w:cs="Times New Roman"/>
          <w:color w:val="000000"/>
          <w:sz w:val="23"/>
          <w:szCs w:val="23"/>
        </w:rPr>
        <w:t>Records of phone numbers used to activate or access the account</w:t>
      </w:r>
    </w:p>
    <w:p w14:paraId="1D30CCF3" w14:textId="77777777" w:rsidR="0055110B" w:rsidRPr="0055110B" w:rsidRDefault="0055110B" w:rsidP="0055110B">
      <w:pPr>
        <w:numPr>
          <w:ilvl w:val="0"/>
          <w:numId w:val="1"/>
        </w:numPr>
        <w:shd w:val="clear" w:color="auto" w:fill="FFFFFF"/>
        <w:spacing w:before="100" w:beforeAutospacing="1" w:after="165"/>
        <w:rPr>
          <w:rFonts w:ascii="Times" w:eastAsia="Times New Roman" w:hAnsi="Times" w:cs="Times New Roman"/>
          <w:color w:val="000000"/>
          <w:sz w:val="23"/>
          <w:szCs w:val="23"/>
        </w:rPr>
      </w:pPr>
      <w:r w:rsidRPr="0055110B">
        <w:rPr>
          <w:rFonts w:ascii="Times" w:eastAsia="Times New Roman" w:hAnsi="Times" w:cs="Times New Roman"/>
          <w:color w:val="000000"/>
          <w:sz w:val="23"/>
          <w:szCs w:val="23"/>
        </w:rPr>
        <w:t>Signatures on applications and accounts</w:t>
      </w:r>
    </w:p>
    <w:p w14:paraId="74333840" w14:textId="77777777" w:rsidR="0055110B" w:rsidRPr="0055110B" w:rsidRDefault="0055110B" w:rsidP="0055110B">
      <w:pPr>
        <w:numPr>
          <w:ilvl w:val="0"/>
          <w:numId w:val="1"/>
        </w:numPr>
        <w:shd w:val="clear" w:color="auto" w:fill="FFFFFF"/>
        <w:spacing w:before="100" w:beforeAutospacing="1" w:after="165"/>
        <w:rPr>
          <w:rFonts w:ascii="Times" w:eastAsia="Times New Roman" w:hAnsi="Times" w:cs="Times New Roman"/>
          <w:color w:val="000000"/>
          <w:sz w:val="23"/>
          <w:szCs w:val="23"/>
        </w:rPr>
      </w:pPr>
      <w:r w:rsidRPr="0055110B">
        <w:rPr>
          <w:rFonts w:ascii="Times" w:eastAsia="Times New Roman" w:hAnsi="Times" w:cs="Times New Roman"/>
          <w:color w:val="000000"/>
          <w:sz w:val="23"/>
          <w:szCs w:val="23"/>
        </w:rPr>
        <w:t>Investigators report</w:t>
      </w:r>
    </w:p>
    <w:p w14:paraId="6C01F55F" w14:textId="77777777" w:rsidR="0055110B" w:rsidRPr="0055110B" w:rsidRDefault="0055110B" w:rsidP="0055110B">
      <w:pPr>
        <w:shd w:val="clear" w:color="auto" w:fill="FFFFFF"/>
        <w:spacing w:after="158"/>
        <w:rPr>
          <w:rFonts w:ascii="Times" w:eastAsia="Times New Roman" w:hAnsi="Times" w:cs="Times New Roman"/>
          <w:color w:val="000000"/>
          <w:sz w:val="23"/>
          <w:szCs w:val="23"/>
        </w:rPr>
      </w:pPr>
      <w:r w:rsidRPr="0055110B">
        <w:rPr>
          <w:rFonts w:ascii="Times" w:eastAsia="Times New Roman" w:hAnsi="Times" w:cs="Times New Roman"/>
          <w:color w:val="000000"/>
          <w:sz w:val="23"/>
          <w:szCs w:val="23"/>
        </w:rPr>
        <w:t>Please send me a letter explaining what you have done to:</w:t>
      </w:r>
    </w:p>
    <w:p w14:paraId="222F1CBF" w14:textId="77777777" w:rsidR="0055110B" w:rsidRPr="0055110B" w:rsidRDefault="0055110B" w:rsidP="0055110B">
      <w:pPr>
        <w:numPr>
          <w:ilvl w:val="0"/>
          <w:numId w:val="2"/>
        </w:numPr>
        <w:shd w:val="clear" w:color="auto" w:fill="FFFFFF"/>
        <w:spacing w:before="100" w:beforeAutospacing="1" w:after="165"/>
        <w:rPr>
          <w:rFonts w:ascii="Times" w:eastAsia="Times New Roman" w:hAnsi="Times" w:cs="Times New Roman"/>
          <w:color w:val="000000"/>
          <w:sz w:val="23"/>
          <w:szCs w:val="23"/>
        </w:rPr>
      </w:pPr>
      <w:r w:rsidRPr="0055110B">
        <w:rPr>
          <w:rFonts w:ascii="Times" w:eastAsia="Times New Roman" w:hAnsi="Times" w:cs="Times New Roman"/>
          <w:color w:val="000000"/>
          <w:sz w:val="23"/>
          <w:szCs w:val="23"/>
        </w:rPr>
        <w:t>Inform </w:t>
      </w:r>
      <w:r w:rsidRPr="0055110B">
        <w:rPr>
          <w:rFonts w:ascii="Times" w:eastAsia="Times New Roman" w:hAnsi="Times" w:cs="Times New Roman"/>
          <w:b/>
          <w:bCs/>
          <w:color w:val="D9855B"/>
          <w:sz w:val="23"/>
          <w:szCs w:val="23"/>
        </w:rPr>
        <w:t>[business where the account was opened]</w:t>
      </w:r>
      <w:r w:rsidRPr="0055110B">
        <w:rPr>
          <w:rFonts w:ascii="Times" w:eastAsia="Times New Roman" w:hAnsi="Times" w:cs="Times New Roman"/>
          <w:color w:val="000000"/>
          <w:sz w:val="23"/>
          <w:szCs w:val="23"/>
        </w:rPr>
        <w:t> that the debt is the result of identity theft</w:t>
      </w:r>
    </w:p>
    <w:p w14:paraId="046EA022" w14:textId="77777777" w:rsidR="0055110B" w:rsidRPr="0055110B" w:rsidRDefault="0055110B" w:rsidP="0055110B">
      <w:pPr>
        <w:numPr>
          <w:ilvl w:val="0"/>
          <w:numId w:val="2"/>
        </w:numPr>
        <w:shd w:val="clear" w:color="auto" w:fill="FFFFFF"/>
        <w:spacing w:before="100" w:beforeAutospacing="1" w:after="165"/>
        <w:rPr>
          <w:rFonts w:ascii="Times" w:eastAsia="Times New Roman" w:hAnsi="Times" w:cs="Times New Roman"/>
          <w:color w:val="000000"/>
          <w:sz w:val="23"/>
          <w:szCs w:val="23"/>
        </w:rPr>
      </w:pPr>
      <w:r w:rsidRPr="0055110B">
        <w:rPr>
          <w:rFonts w:ascii="Times" w:eastAsia="Times New Roman" w:hAnsi="Times" w:cs="Times New Roman"/>
          <w:color w:val="000000"/>
          <w:sz w:val="23"/>
          <w:szCs w:val="23"/>
        </w:rPr>
        <w:t>Stop collection proceedings against me</w:t>
      </w:r>
    </w:p>
    <w:p w14:paraId="2301FC8A" w14:textId="77777777" w:rsidR="0055110B" w:rsidRPr="0055110B" w:rsidRDefault="0055110B" w:rsidP="0055110B">
      <w:pPr>
        <w:numPr>
          <w:ilvl w:val="0"/>
          <w:numId w:val="2"/>
        </w:numPr>
        <w:shd w:val="clear" w:color="auto" w:fill="FFFFFF"/>
        <w:spacing w:before="100" w:beforeAutospacing="1" w:after="165"/>
        <w:rPr>
          <w:rFonts w:ascii="Times" w:eastAsia="Times New Roman" w:hAnsi="Times" w:cs="Times New Roman"/>
          <w:color w:val="000000"/>
          <w:sz w:val="23"/>
          <w:szCs w:val="23"/>
        </w:rPr>
      </w:pPr>
      <w:r w:rsidRPr="0055110B">
        <w:rPr>
          <w:rFonts w:ascii="Times" w:eastAsia="Times New Roman" w:hAnsi="Times" w:cs="Times New Roman"/>
          <w:color w:val="000000"/>
          <w:sz w:val="23"/>
          <w:szCs w:val="23"/>
        </w:rPr>
        <w:t>Stop reporting information about the debt to credit reporting companies</w:t>
      </w:r>
    </w:p>
    <w:p w14:paraId="1E41F8DA" w14:textId="77777777" w:rsidR="0055110B" w:rsidRPr="0055110B" w:rsidRDefault="0055110B" w:rsidP="0055110B">
      <w:pPr>
        <w:numPr>
          <w:ilvl w:val="0"/>
          <w:numId w:val="2"/>
        </w:numPr>
        <w:shd w:val="clear" w:color="auto" w:fill="FFFFFF"/>
        <w:spacing w:before="100" w:beforeAutospacing="1" w:after="165"/>
        <w:rPr>
          <w:rFonts w:ascii="Times" w:eastAsia="Times New Roman" w:hAnsi="Times" w:cs="Times New Roman"/>
          <w:color w:val="000000"/>
          <w:sz w:val="23"/>
          <w:szCs w:val="23"/>
        </w:rPr>
      </w:pPr>
      <w:r w:rsidRPr="0055110B">
        <w:rPr>
          <w:rFonts w:ascii="Times" w:eastAsia="Times New Roman" w:hAnsi="Times" w:cs="Times New Roman"/>
          <w:color w:val="000000"/>
          <w:sz w:val="23"/>
          <w:szCs w:val="23"/>
        </w:rPr>
        <w:t>Provide me with the records I request</w:t>
      </w:r>
    </w:p>
    <w:p w14:paraId="63F477F1" w14:textId="77777777" w:rsidR="0055110B" w:rsidRPr="0055110B" w:rsidRDefault="0055110B" w:rsidP="0055110B">
      <w:pPr>
        <w:shd w:val="clear" w:color="auto" w:fill="FFFFFF"/>
        <w:spacing w:after="158"/>
        <w:rPr>
          <w:rFonts w:ascii="Times" w:eastAsia="Times New Roman" w:hAnsi="Times" w:cs="Times New Roman"/>
          <w:color w:val="000000"/>
          <w:sz w:val="23"/>
          <w:szCs w:val="23"/>
        </w:rPr>
      </w:pPr>
      <w:r w:rsidRPr="0055110B">
        <w:rPr>
          <w:rFonts w:ascii="Times" w:eastAsia="Times New Roman" w:hAnsi="Times" w:cs="Times New Roman"/>
          <w:color w:val="000000"/>
          <w:sz w:val="23"/>
          <w:szCs w:val="23"/>
        </w:rPr>
        <w:t>Thank you for your cooperation.</w:t>
      </w:r>
    </w:p>
    <w:p w14:paraId="34AA53F5" w14:textId="77777777" w:rsidR="0055110B" w:rsidRPr="0055110B" w:rsidRDefault="0055110B" w:rsidP="0055110B">
      <w:pPr>
        <w:shd w:val="clear" w:color="auto" w:fill="FFFFFF"/>
        <w:spacing w:after="158"/>
        <w:rPr>
          <w:rFonts w:ascii="Times" w:eastAsia="Times New Roman" w:hAnsi="Times" w:cs="Times New Roman"/>
          <w:color w:val="000000"/>
          <w:sz w:val="23"/>
          <w:szCs w:val="23"/>
        </w:rPr>
      </w:pPr>
      <w:r w:rsidRPr="0055110B">
        <w:rPr>
          <w:rFonts w:ascii="Times" w:eastAsia="Times New Roman" w:hAnsi="Times" w:cs="Times New Roman"/>
          <w:color w:val="000000"/>
          <w:sz w:val="23"/>
          <w:szCs w:val="23"/>
        </w:rPr>
        <w:lastRenderedPageBreak/>
        <w:t>Sincerely,</w:t>
      </w:r>
      <w:r w:rsidRPr="0055110B">
        <w:rPr>
          <w:rFonts w:ascii="Times" w:eastAsia="Times New Roman" w:hAnsi="Times" w:cs="Times New Roman"/>
          <w:color w:val="000000"/>
          <w:sz w:val="23"/>
          <w:szCs w:val="23"/>
        </w:rPr>
        <w:br/>
      </w:r>
      <w:r w:rsidRPr="0055110B">
        <w:rPr>
          <w:rFonts w:ascii="Times" w:eastAsia="Times New Roman" w:hAnsi="Times" w:cs="Times New Roman"/>
          <w:b/>
          <w:bCs/>
          <w:color w:val="D9855B"/>
          <w:sz w:val="23"/>
          <w:szCs w:val="23"/>
        </w:rPr>
        <w:t>[Your Name]</w:t>
      </w:r>
    </w:p>
    <w:p w14:paraId="0563BE11" w14:textId="77777777" w:rsidR="0055110B" w:rsidRPr="0055110B" w:rsidRDefault="0055110B" w:rsidP="0055110B">
      <w:pPr>
        <w:shd w:val="clear" w:color="auto" w:fill="FFFFFF"/>
        <w:spacing w:after="158"/>
        <w:rPr>
          <w:rFonts w:ascii="Times" w:eastAsia="Times New Roman" w:hAnsi="Times" w:cs="Times New Roman"/>
          <w:color w:val="000000"/>
          <w:sz w:val="23"/>
          <w:szCs w:val="23"/>
        </w:rPr>
      </w:pPr>
      <w:r w:rsidRPr="0055110B">
        <w:rPr>
          <w:rFonts w:ascii="Times" w:eastAsia="Times New Roman" w:hAnsi="Times" w:cs="Times New Roman"/>
          <w:color w:val="000000"/>
          <w:sz w:val="23"/>
          <w:szCs w:val="23"/>
        </w:rPr>
        <w:t>Enclosures: </w:t>
      </w:r>
      <w:r w:rsidRPr="0055110B">
        <w:rPr>
          <w:rFonts w:ascii="Times" w:eastAsia="Times New Roman" w:hAnsi="Times" w:cs="Times New Roman"/>
          <w:b/>
          <w:bCs/>
          <w:color w:val="D9855B"/>
          <w:sz w:val="23"/>
          <w:szCs w:val="23"/>
        </w:rPr>
        <w:t>[List what you are enclosing]</w:t>
      </w:r>
    </w:p>
    <w:p w14:paraId="5E7F4068" w14:textId="77777777" w:rsidR="0055110B" w:rsidRPr="0055110B" w:rsidRDefault="0055110B" w:rsidP="0055110B">
      <w:pPr>
        <w:numPr>
          <w:ilvl w:val="0"/>
          <w:numId w:val="3"/>
        </w:numPr>
        <w:shd w:val="clear" w:color="auto" w:fill="FFFFFF"/>
        <w:spacing w:before="100" w:beforeAutospacing="1" w:after="165"/>
        <w:rPr>
          <w:rFonts w:ascii="Times" w:eastAsia="Times New Roman" w:hAnsi="Times" w:cs="Times New Roman"/>
          <w:color w:val="000000"/>
          <w:sz w:val="23"/>
          <w:szCs w:val="23"/>
        </w:rPr>
      </w:pPr>
      <w:r w:rsidRPr="0055110B">
        <w:rPr>
          <w:rFonts w:ascii="Times" w:eastAsia="Times New Roman" w:hAnsi="Times" w:cs="Times New Roman"/>
          <w:color w:val="000000"/>
          <w:sz w:val="23"/>
          <w:szCs w:val="23"/>
        </w:rPr>
        <w:t>Identity Theft Report</w:t>
      </w:r>
    </w:p>
    <w:p w14:paraId="52D6B264" w14:textId="77777777" w:rsidR="0055110B" w:rsidRPr="0055110B" w:rsidRDefault="0055110B" w:rsidP="0055110B">
      <w:pPr>
        <w:numPr>
          <w:ilvl w:val="0"/>
          <w:numId w:val="3"/>
        </w:numPr>
        <w:shd w:val="clear" w:color="auto" w:fill="FFFFFF"/>
        <w:spacing w:before="100" w:beforeAutospacing="1" w:after="165"/>
        <w:rPr>
          <w:rFonts w:ascii="Times" w:eastAsia="Times New Roman" w:hAnsi="Times" w:cs="Times New Roman"/>
          <w:color w:val="000000"/>
          <w:sz w:val="23"/>
          <w:szCs w:val="23"/>
        </w:rPr>
      </w:pPr>
      <w:r w:rsidRPr="0055110B">
        <w:rPr>
          <w:rFonts w:ascii="Times" w:eastAsia="Times New Roman" w:hAnsi="Times" w:cs="Times New Roman"/>
          <w:color w:val="000000"/>
          <w:sz w:val="23"/>
          <w:szCs w:val="23"/>
        </w:rPr>
        <w:t>Proof of identity: </w:t>
      </w:r>
      <w:r w:rsidRPr="0055110B">
        <w:rPr>
          <w:rFonts w:ascii="Times" w:eastAsia="Times New Roman" w:hAnsi="Times" w:cs="Times New Roman"/>
          <w:b/>
          <w:bCs/>
          <w:color w:val="D9855B"/>
          <w:sz w:val="23"/>
          <w:szCs w:val="23"/>
        </w:rPr>
        <w:t>[a copy of my driver’s license/other government-issued identification card/other]</w:t>
      </w:r>
    </w:p>
    <w:p w14:paraId="14CEF52C" w14:textId="774F2314" w:rsidR="0055110B" w:rsidRPr="0055110B" w:rsidRDefault="0055110B">
      <w:pPr>
        <w:rPr>
          <w:rFonts w:ascii="Times" w:hAnsi="Times"/>
          <w:sz w:val="23"/>
          <w:szCs w:val="23"/>
        </w:rPr>
      </w:pPr>
    </w:p>
    <w:p w14:paraId="3201A53C" w14:textId="042CC917" w:rsidR="0055110B" w:rsidRPr="0055110B" w:rsidRDefault="0055110B">
      <w:pPr>
        <w:rPr>
          <w:rFonts w:ascii="Times" w:hAnsi="Times"/>
          <w:sz w:val="23"/>
          <w:szCs w:val="23"/>
        </w:rPr>
      </w:pPr>
    </w:p>
    <w:p w14:paraId="452B261C" w14:textId="2361E733" w:rsidR="0055110B" w:rsidRPr="0055110B" w:rsidRDefault="0055110B">
      <w:pPr>
        <w:rPr>
          <w:rFonts w:ascii="Times" w:hAnsi="Times"/>
          <w:sz w:val="23"/>
          <w:szCs w:val="23"/>
        </w:rPr>
      </w:pPr>
    </w:p>
    <w:p w14:paraId="7DEF5FFF" w14:textId="6342BCFC" w:rsidR="0055110B" w:rsidRPr="0055110B" w:rsidRDefault="0055110B">
      <w:pPr>
        <w:rPr>
          <w:rFonts w:ascii="Times" w:hAnsi="Times"/>
          <w:sz w:val="23"/>
          <w:szCs w:val="23"/>
        </w:rPr>
      </w:pPr>
    </w:p>
    <w:p w14:paraId="1258F96C" w14:textId="7A6570F5" w:rsidR="0055110B" w:rsidRPr="0055110B" w:rsidRDefault="0055110B">
      <w:pPr>
        <w:rPr>
          <w:rFonts w:ascii="Times" w:hAnsi="Times"/>
          <w:sz w:val="23"/>
          <w:szCs w:val="23"/>
        </w:rPr>
      </w:pPr>
    </w:p>
    <w:p w14:paraId="20AB6735" w14:textId="6AA32E00" w:rsidR="0055110B" w:rsidRPr="0055110B" w:rsidRDefault="0055110B">
      <w:pPr>
        <w:rPr>
          <w:rFonts w:ascii="Times" w:hAnsi="Times"/>
          <w:sz w:val="23"/>
          <w:szCs w:val="23"/>
        </w:rPr>
      </w:pPr>
    </w:p>
    <w:p w14:paraId="1128965C" w14:textId="5D1D1186" w:rsidR="0055110B" w:rsidRPr="0055110B" w:rsidRDefault="0055110B">
      <w:pPr>
        <w:rPr>
          <w:rFonts w:ascii="Times" w:hAnsi="Times"/>
          <w:sz w:val="23"/>
          <w:szCs w:val="23"/>
        </w:rPr>
      </w:pPr>
    </w:p>
    <w:p w14:paraId="3F36342C" w14:textId="1D7C4471" w:rsidR="0055110B" w:rsidRPr="0055110B" w:rsidRDefault="0055110B">
      <w:pPr>
        <w:rPr>
          <w:rFonts w:ascii="Times" w:hAnsi="Times"/>
          <w:sz w:val="23"/>
          <w:szCs w:val="23"/>
        </w:rPr>
      </w:pPr>
    </w:p>
    <w:p w14:paraId="435A6F54" w14:textId="7F6DBFE8" w:rsidR="0055110B" w:rsidRPr="0055110B" w:rsidRDefault="0055110B">
      <w:pPr>
        <w:rPr>
          <w:rFonts w:ascii="Times" w:hAnsi="Times"/>
          <w:sz w:val="23"/>
          <w:szCs w:val="23"/>
        </w:rPr>
      </w:pPr>
    </w:p>
    <w:p w14:paraId="306811AE" w14:textId="237B175B" w:rsidR="0055110B" w:rsidRPr="0055110B" w:rsidRDefault="0055110B">
      <w:pPr>
        <w:rPr>
          <w:rFonts w:ascii="Times" w:hAnsi="Times"/>
          <w:sz w:val="23"/>
          <w:szCs w:val="23"/>
        </w:rPr>
      </w:pPr>
    </w:p>
    <w:p w14:paraId="443BBB0D" w14:textId="4283B604" w:rsidR="0055110B" w:rsidRPr="0055110B" w:rsidRDefault="0055110B">
      <w:pPr>
        <w:rPr>
          <w:rFonts w:ascii="Times" w:hAnsi="Times"/>
          <w:sz w:val="23"/>
          <w:szCs w:val="23"/>
        </w:rPr>
      </w:pPr>
    </w:p>
    <w:p w14:paraId="51EA9E8E" w14:textId="30D18507" w:rsidR="0055110B" w:rsidRPr="0055110B" w:rsidRDefault="0055110B">
      <w:pPr>
        <w:rPr>
          <w:rFonts w:ascii="Times" w:hAnsi="Times"/>
          <w:sz w:val="23"/>
          <w:szCs w:val="23"/>
        </w:rPr>
      </w:pPr>
    </w:p>
    <w:p w14:paraId="70E93668" w14:textId="3DD91DF5" w:rsidR="0055110B" w:rsidRPr="0055110B" w:rsidRDefault="0055110B">
      <w:pPr>
        <w:rPr>
          <w:rFonts w:ascii="Times" w:hAnsi="Times"/>
          <w:sz w:val="23"/>
          <w:szCs w:val="23"/>
        </w:rPr>
      </w:pPr>
    </w:p>
    <w:p w14:paraId="4D5F0251" w14:textId="50E8ADC0" w:rsidR="0055110B" w:rsidRPr="0055110B" w:rsidRDefault="0055110B">
      <w:pPr>
        <w:rPr>
          <w:rFonts w:ascii="Times" w:hAnsi="Times"/>
          <w:sz w:val="23"/>
          <w:szCs w:val="23"/>
        </w:rPr>
      </w:pPr>
    </w:p>
    <w:p w14:paraId="095E6DCE" w14:textId="06A71D27" w:rsidR="0055110B" w:rsidRPr="0055110B" w:rsidRDefault="0055110B">
      <w:pPr>
        <w:rPr>
          <w:rFonts w:ascii="Times" w:hAnsi="Times"/>
          <w:sz w:val="23"/>
          <w:szCs w:val="23"/>
        </w:rPr>
      </w:pPr>
    </w:p>
    <w:p w14:paraId="5416262D" w14:textId="70C37159" w:rsidR="0055110B" w:rsidRPr="0055110B" w:rsidRDefault="0055110B">
      <w:pPr>
        <w:rPr>
          <w:rFonts w:ascii="Times" w:hAnsi="Times"/>
          <w:sz w:val="23"/>
          <w:szCs w:val="23"/>
        </w:rPr>
      </w:pPr>
    </w:p>
    <w:p w14:paraId="14E05DD8" w14:textId="7E7CDA57" w:rsidR="0055110B" w:rsidRPr="0055110B" w:rsidRDefault="0055110B">
      <w:pPr>
        <w:rPr>
          <w:rFonts w:ascii="Times" w:hAnsi="Times"/>
          <w:sz w:val="23"/>
          <w:szCs w:val="23"/>
        </w:rPr>
      </w:pPr>
    </w:p>
    <w:p w14:paraId="16D148A0" w14:textId="75DBCFE7" w:rsidR="0055110B" w:rsidRPr="0055110B" w:rsidRDefault="0055110B">
      <w:pPr>
        <w:rPr>
          <w:rFonts w:ascii="Times" w:hAnsi="Times"/>
          <w:sz w:val="23"/>
          <w:szCs w:val="23"/>
        </w:rPr>
      </w:pPr>
    </w:p>
    <w:p w14:paraId="0CC3D073" w14:textId="4F20853F" w:rsidR="0055110B" w:rsidRPr="0055110B" w:rsidRDefault="0055110B">
      <w:pPr>
        <w:rPr>
          <w:rFonts w:ascii="Times" w:hAnsi="Times"/>
          <w:sz w:val="23"/>
          <w:szCs w:val="23"/>
        </w:rPr>
      </w:pPr>
    </w:p>
    <w:p w14:paraId="2DA4A7F1" w14:textId="20CB8B2A" w:rsidR="0055110B" w:rsidRPr="0055110B" w:rsidRDefault="0055110B">
      <w:pPr>
        <w:rPr>
          <w:rFonts w:ascii="Times" w:hAnsi="Times"/>
          <w:sz w:val="23"/>
          <w:szCs w:val="23"/>
        </w:rPr>
      </w:pPr>
    </w:p>
    <w:p w14:paraId="3BA69017" w14:textId="7FF2A748" w:rsidR="0055110B" w:rsidRPr="0055110B" w:rsidRDefault="0055110B">
      <w:pPr>
        <w:rPr>
          <w:rFonts w:ascii="Times" w:hAnsi="Times"/>
          <w:sz w:val="23"/>
          <w:szCs w:val="23"/>
        </w:rPr>
      </w:pPr>
    </w:p>
    <w:p w14:paraId="1B0868B3" w14:textId="2CA5521A" w:rsidR="0055110B" w:rsidRPr="0055110B" w:rsidRDefault="0055110B">
      <w:pPr>
        <w:rPr>
          <w:rFonts w:ascii="Times" w:hAnsi="Times"/>
          <w:sz w:val="23"/>
          <w:szCs w:val="23"/>
        </w:rPr>
      </w:pPr>
    </w:p>
    <w:p w14:paraId="5D4B7653" w14:textId="330747E9" w:rsidR="0055110B" w:rsidRPr="0055110B" w:rsidRDefault="0055110B">
      <w:pPr>
        <w:rPr>
          <w:rFonts w:ascii="Times" w:hAnsi="Times"/>
          <w:sz w:val="23"/>
          <w:szCs w:val="23"/>
        </w:rPr>
      </w:pPr>
    </w:p>
    <w:p w14:paraId="395E95DA" w14:textId="7CA7AEB9" w:rsidR="0055110B" w:rsidRPr="0055110B" w:rsidRDefault="0055110B">
      <w:pPr>
        <w:rPr>
          <w:rFonts w:ascii="Times" w:hAnsi="Times"/>
          <w:sz w:val="23"/>
          <w:szCs w:val="23"/>
        </w:rPr>
      </w:pPr>
    </w:p>
    <w:p w14:paraId="47E6E9F0" w14:textId="00A98A69" w:rsidR="0055110B" w:rsidRPr="0055110B" w:rsidRDefault="0055110B">
      <w:pPr>
        <w:rPr>
          <w:rFonts w:ascii="Times" w:hAnsi="Times"/>
          <w:sz w:val="23"/>
          <w:szCs w:val="23"/>
        </w:rPr>
      </w:pPr>
    </w:p>
    <w:p w14:paraId="032F990B" w14:textId="540EE5A1" w:rsidR="0055110B" w:rsidRPr="0055110B" w:rsidRDefault="0055110B">
      <w:pPr>
        <w:rPr>
          <w:rFonts w:ascii="Times" w:hAnsi="Times"/>
          <w:sz w:val="23"/>
          <w:szCs w:val="23"/>
        </w:rPr>
      </w:pPr>
    </w:p>
    <w:p w14:paraId="5A8C4463" w14:textId="522874F6" w:rsidR="0055110B" w:rsidRPr="0055110B" w:rsidRDefault="0055110B">
      <w:pPr>
        <w:rPr>
          <w:rFonts w:ascii="Times" w:hAnsi="Times"/>
          <w:sz w:val="23"/>
          <w:szCs w:val="23"/>
        </w:rPr>
      </w:pPr>
    </w:p>
    <w:p w14:paraId="751BE9E4" w14:textId="62C4615A" w:rsidR="0055110B" w:rsidRPr="0055110B" w:rsidRDefault="0055110B">
      <w:pPr>
        <w:rPr>
          <w:rFonts w:ascii="Times" w:hAnsi="Times"/>
          <w:sz w:val="23"/>
          <w:szCs w:val="23"/>
        </w:rPr>
      </w:pPr>
    </w:p>
    <w:p w14:paraId="22D79E7A" w14:textId="44E76D8F" w:rsidR="0055110B" w:rsidRPr="0055110B" w:rsidRDefault="0055110B">
      <w:pPr>
        <w:rPr>
          <w:rFonts w:ascii="Times" w:hAnsi="Times"/>
          <w:sz w:val="23"/>
          <w:szCs w:val="23"/>
        </w:rPr>
      </w:pPr>
    </w:p>
    <w:p w14:paraId="7D62EC79" w14:textId="5716E2E1" w:rsidR="0055110B" w:rsidRPr="0055110B" w:rsidRDefault="0055110B">
      <w:pPr>
        <w:rPr>
          <w:rFonts w:ascii="Times" w:hAnsi="Times"/>
          <w:sz w:val="23"/>
          <w:szCs w:val="23"/>
        </w:rPr>
      </w:pPr>
    </w:p>
    <w:p w14:paraId="240AB492" w14:textId="49BE0EEB" w:rsidR="0055110B" w:rsidRPr="0055110B" w:rsidRDefault="0055110B">
      <w:pPr>
        <w:rPr>
          <w:rFonts w:ascii="Times" w:hAnsi="Times"/>
          <w:sz w:val="23"/>
          <w:szCs w:val="23"/>
        </w:rPr>
      </w:pPr>
    </w:p>
    <w:p w14:paraId="1B4F2AF6" w14:textId="472FCDD3" w:rsidR="0055110B" w:rsidRPr="0055110B" w:rsidRDefault="0055110B">
      <w:pPr>
        <w:rPr>
          <w:rFonts w:ascii="Times" w:hAnsi="Times"/>
          <w:sz w:val="23"/>
          <w:szCs w:val="23"/>
        </w:rPr>
      </w:pPr>
    </w:p>
    <w:p w14:paraId="0FF7E2CF" w14:textId="77777777" w:rsidR="0055110B" w:rsidRPr="0055110B" w:rsidRDefault="0055110B">
      <w:pPr>
        <w:rPr>
          <w:rFonts w:ascii="Times" w:hAnsi="Times"/>
          <w:sz w:val="23"/>
          <w:szCs w:val="23"/>
        </w:rPr>
      </w:pPr>
    </w:p>
    <w:p w14:paraId="5CFDDD35" w14:textId="121C131F" w:rsidR="0055110B" w:rsidRPr="0055110B" w:rsidRDefault="0055110B">
      <w:pPr>
        <w:rPr>
          <w:rFonts w:ascii="Times" w:hAnsi="Times"/>
          <w:sz w:val="23"/>
          <w:szCs w:val="23"/>
        </w:rPr>
      </w:pPr>
    </w:p>
    <w:p w14:paraId="5A165012" w14:textId="250AAB24" w:rsidR="0055110B" w:rsidRPr="0055110B" w:rsidRDefault="0055110B">
      <w:pPr>
        <w:rPr>
          <w:rFonts w:ascii="Times" w:hAnsi="Times"/>
          <w:sz w:val="23"/>
          <w:szCs w:val="23"/>
        </w:rPr>
      </w:pPr>
    </w:p>
    <w:p w14:paraId="25544D6F" w14:textId="2E2B6E7F" w:rsidR="0055110B" w:rsidRPr="0055110B" w:rsidRDefault="0055110B">
      <w:pPr>
        <w:rPr>
          <w:rFonts w:ascii="Times" w:hAnsi="Times"/>
          <w:sz w:val="23"/>
          <w:szCs w:val="23"/>
        </w:rPr>
      </w:pPr>
    </w:p>
    <w:p w14:paraId="533AC970" w14:textId="114EBC96" w:rsidR="0055110B" w:rsidRPr="0055110B" w:rsidRDefault="0055110B">
      <w:pPr>
        <w:rPr>
          <w:rFonts w:ascii="Times" w:hAnsi="Times"/>
          <w:sz w:val="23"/>
          <w:szCs w:val="23"/>
        </w:rPr>
      </w:pPr>
    </w:p>
    <w:p w14:paraId="21E41C3C" w14:textId="40BEC9BF" w:rsidR="0055110B" w:rsidRDefault="0055110B" w:rsidP="0055110B">
      <w:pPr>
        <w:rPr>
          <w:rFonts w:ascii="Times" w:eastAsia="Times New Roman" w:hAnsi="Times" w:cs="Times New Roman"/>
          <w:sz w:val="23"/>
          <w:szCs w:val="23"/>
        </w:rPr>
      </w:pPr>
    </w:p>
    <w:p w14:paraId="724E7D66" w14:textId="77777777" w:rsidR="0055110B" w:rsidRPr="0055110B" w:rsidRDefault="0055110B" w:rsidP="0055110B">
      <w:pPr>
        <w:rPr>
          <w:rFonts w:ascii="Times" w:eastAsia="Times New Roman" w:hAnsi="Times" w:cs="Times New Roman"/>
          <w:sz w:val="23"/>
          <w:szCs w:val="23"/>
        </w:rPr>
      </w:pPr>
    </w:p>
    <w:p w14:paraId="1785443F" w14:textId="3879EBE9" w:rsidR="0055110B" w:rsidRPr="0055110B" w:rsidRDefault="0055110B" w:rsidP="0055110B">
      <w:pPr>
        <w:jc w:val="center"/>
        <w:rPr>
          <w:rFonts w:ascii="Times" w:eastAsia="Times New Roman" w:hAnsi="Times" w:cs="Times New Roman"/>
          <w:sz w:val="23"/>
          <w:szCs w:val="23"/>
        </w:rPr>
      </w:pPr>
      <w:r w:rsidRPr="0055110B">
        <w:rPr>
          <w:rFonts w:ascii="Times" w:eastAsia="Times New Roman" w:hAnsi="Times" w:cs="Times New Roman"/>
          <w:sz w:val="23"/>
          <w:szCs w:val="23"/>
        </w:rPr>
        <w:t>FCRA</w:t>
      </w:r>
    </w:p>
    <w:p w14:paraId="385C1C84" w14:textId="77777777" w:rsidR="0055110B" w:rsidRPr="0055110B" w:rsidRDefault="0055110B" w:rsidP="0055110B">
      <w:pPr>
        <w:jc w:val="center"/>
        <w:rPr>
          <w:rFonts w:ascii="Times" w:eastAsia="Times New Roman" w:hAnsi="Times" w:cs="Times New Roman"/>
          <w:sz w:val="23"/>
          <w:szCs w:val="23"/>
        </w:rPr>
      </w:pPr>
    </w:p>
    <w:p w14:paraId="243D3D73" w14:textId="471BFB52" w:rsidR="0055110B" w:rsidRPr="0055110B" w:rsidRDefault="0055110B" w:rsidP="0055110B">
      <w:pPr>
        <w:rPr>
          <w:rFonts w:ascii="Times" w:eastAsia="Times New Roman" w:hAnsi="Times" w:cs="Times New Roman"/>
          <w:sz w:val="23"/>
          <w:szCs w:val="23"/>
        </w:rPr>
      </w:pPr>
      <w:r w:rsidRPr="0055110B">
        <w:rPr>
          <w:rFonts w:ascii="Times" w:eastAsia="Times New Roman" w:hAnsi="Times" w:cs="Times New Roman"/>
          <w:sz w:val="23"/>
          <w:szCs w:val="23"/>
        </w:rPr>
        <w:t xml:space="preserve">All furnishers of consumer reports must comply with all applicable regulations, including regulations promulgated after this notice was first prescribed in 2004. Information about applicable regulations currently in effect can be found at the Consumer Financial Protection Bureau's website, consumerfinance.gov/learnmore. </w:t>
      </w:r>
    </w:p>
    <w:p w14:paraId="13A82620" w14:textId="77777777" w:rsidR="0055110B" w:rsidRPr="0055110B" w:rsidRDefault="0055110B" w:rsidP="0055110B">
      <w:pPr>
        <w:rPr>
          <w:rFonts w:ascii="Times" w:eastAsia="Times New Roman" w:hAnsi="Times" w:cs="Times New Roman"/>
          <w:b/>
          <w:bCs/>
          <w:sz w:val="23"/>
          <w:szCs w:val="23"/>
        </w:rPr>
      </w:pPr>
    </w:p>
    <w:p w14:paraId="76794EB1" w14:textId="117B42F1" w:rsidR="0055110B" w:rsidRPr="0055110B" w:rsidRDefault="0055110B" w:rsidP="0055110B">
      <w:pPr>
        <w:rPr>
          <w:rFonts w:ascii="Times" w:eastAsia="Times New Roman" w:hAnsi="Times" w:cs="Times New Roman"/>
          <w:b/>
          <w:bCs/>
          <w:sz w:val="23"/>
          <w:szCs w:val="23"/>
        </w:rPr>
      </w:pPr>
      <w:r w:rsidRPr="0055110B">
        <w:rPr>
          <w:rFonts w:ascii="Times" w:eastAsia="Times New Roman" w:hAnsi="Times" w:cs="Times New Roman"/>
          <w:b/>
          <w:bCs/>
          <w:sz w:val="23"/>
          <w:szCs w:val="23"/>
        </w:rPr>
        <w:t xml:space="preserve">NOTICE TO FURNISHERS OF INFORMATION: OBLIGATIONS OF FURNISHERS UNDER THE FCRA </w:t>
      </w:r>
    </w:p>
    <w:p w14:paraId="40C3C781" w14:textId="77777777" w:rsidR="0055110B" w:rsidRPr="0055110B" w:rsidRDefault="0055110B" w:rsidP="0055110B">
      <w:pPr>
        <w:rPr>
          <w:rFonts w:ascii="Times" w:eastAsia="Times New Roman" w:hAnsi="Times" w:cs="Times New Roman"/>
          <w:sz w:val="23"/>
          <w:szCs w:val="23"/>
        </w:rPr>
      </w:pPr>
    </w:p>
    <w:p w14:paraId="1B177F57" w14:textId="77777777" w:rsidR="0055110B" w:rsidRPr="0055110B" w:rsidRDefault="0055110B" w:rsidP="0055110B">
      <w:pPr>
        <w:rPr>
          <w:rFonts w:ascii="Times" w:eastAsia="Times New Roman" w:hAnsi="Times" w:cs="Times New Roman"/>
          <w:sz w:val="23"/>
          <w:szCs w:val="23"/>
        </w:rPr>
      </w:pPr>
      <w:r w:rsidRPr="0055110B">
        <w:rPr>
          <w:rFonts w:ascii="Times" w:eastAsia="Times New Roman" w:hAnsi="Times" w:cs="Times New Roman"/>
          <w:sz w:val="23"/>
          <w:szCs w:val="23"/>
        </w:rPr>
        <w:t xml:space="preserve">The federal Fair Credit Reporting Act (FCRA), 15 U.S.C. § 1681-1681y, imposes responsibilities on all persons who furnish information to consumer reporting agencies (CRAs). These responsibilities are found in Section 623 of the FCRA, 15 U.S.C. § 1681s-2. State law may impose additional requirements on furnishers. All furnishers of information to CRAs should become familiar with the applicable laws and may want to consult with their counsel to ensure that they </w:t>
      </w:r>
      <w:proofErr w:type="gramStart"/>
      <w:r w:rsidRPr="0055110B">
        <w:rPr>
          <w:rFonts w:ascii="Times" w:eastAsia="Times New Roman" w:hAnsi="Times" w:cs="Times New Roman"/>
          <w:sz w:val="23"/>
          <w:szCs w:val="23"/>
        </w:rPr>
        <w:t>are in compliance</w:t>
      </w:r>
      <w:proofErr w:type="gramEnd"/>
      <w:r w:rsidRPr="0055110B">
        <w:rPr>
          <w:rFonts w:ascii="Times" w:eastAsia="Times New Roman" w:hAnsi="Times" w:cs="Times New Roman"/>
          <w:sz w:val="23"/>
          <w:szCs w:val="23"/>
        </w:rPr>
        <w:t xml:space="preserve">. The text of the FCRA is set forth in full at the Bureau of Consumer Financial Protection's website at consumerfinance.gov/learnmore. A list of the sections of the FCRA cross-referenced to the U.S. Code is at the end of this document. </w:t>
      </w:r>
    </w:p>
    <w:p w14:paraId="28424E0C" w14:textId="12B8F190" w:rsidR="0055110B" w:rsidRPr="0055110B" w:rsidRDefault="0055110B" w:rsidP="0055110B">
      <w:pPr>
        <w:rPr>
          <w:rFonts w:ascii="Times" w:eastAsia="Times New Roman" w:hAnsi="Times" w:cs="Times New Roman"/>
          <w:sz w:val="23"/>
          <w:szCs w:val="23"/>
        </w:rPr>
      </w:pPr>
      <w:r w:rsidRPr="0055110B">
        <w:rPr>
          <w:rFonts w:ascii="Times" w:eastAsia="Times New Roman" w:hAnsi="Times" w:cs="Times New Roman"/>
          <w:sz w:val="23"/>
          <w:szCs w:val="23"/>
        </w:rPr>
        <w:t xml:space="preserve">Section 623 imposes the following duties: </w:t>
      </w:r>
    </w:p>
    <w:p w14:paraId="5C17D490" w14:textId="77777777" w:rsidR="0055110B" w:rsidRPr="0055110B" w:rsidRDefault="0055110B" w:rsidP="0055110B">
      <w:pPr>
        <w:rPr>
          <w:rFonts w:ascii="Times" w:eastAsia="Times New Roman" w:hAnsi="Times" w:cs="Times New Roman"/>
          <w:b/>
          <w:bCs/>
          <w:sz w:val="23"/>
          <w:szCs w:val="23"/>
        </w:rPr>
      </w:pPr>
    </w:p>
    <w:p w14:paraId="268683CE" w14:textId="77777777" w:rsidR="0055110B" w:rsidRPr="0055110B" w:rsidRDefault="0055110B" w:rsidP="0055110B">
      <w:pPr>
        <w:rPr>
          <w:rFonts w:ascii="Times" w:eastAsia="Times New Roman" w:hAnsi="Times" w:cs="Times New Roman"/>
          <w:b/>
          <w:bCs/>
          <w:sz w:val="23"/>
          <w:szCs w:val="23"/>
        </w:rPr>
      </w:pPr>
      <w:r w:rsidRPr="0055110B">
        <w:rPr>
          <w:rFonts w:ascii="Times" w:eastAsia="Times New Roman" w:hAnsi="Times" w:cs="Times New Roman"/>
          <w:b/>
          <w:bCs/>
          <w:sz w:val="23"/>
          <w:szCs w:val="23"/>
        </w:rPr>
        <w:t xml:space="preserve">Accuracy Guidelines </w:t>
      </w:r>
    </w:p>
    <w:p w14:paraId="1ABEAF83" w14:textId="16B3C5E3" w:rsidR="0055110B" w:rsidRPr="0055110B" w:rsidRDefault="0055110B" w:rsidP="0055110B">
      <w:pPr>
        <w:rPr>
          <w:rFonts w:ascii="Times" w:eastAsia="Times New Roman" w:hAnsi="Times" w:cs="Times New Roman"/>
          <w:sz w:val="23"/>
          <w:szCs w:val="23"/>
        </w:rPr>
      </w:pPr>
      <w:r w:rsidRPr="0055110B">
        <w:rPr>
          <w:rFonts w:ascii="Times" w:eastAsia="Times New Roman" w:hAnsi="Times" w:cs="Times New Roman"/>
          <w:sz w:val="23"/>
          <w:szCs w:val="23"/>
        </w:rPr>
        <w:t xml:space="preserve">The banking and credit union regulators and the CFPB will promulgate guidelines and regulations dealing with the accuracy of information provided to CRAs by furnishers. The regulations and guidelines issued by the CFPB will be available at consumerfinance.gov/learnmore when they are issued. Section 623(e). </w:t>
      </w:r>
    </w:p>
    <w:p w14:paraId="09BB44AC" w14:textId="77777777" w:rsidR="0055110B" w:rsidRPr="0055110B" w:rsidRDefault="0055110B" w:rsidP="0055110B">
      <w:pPr>
        <w:rPr>
          <w:rFonts w:ascii="Times" w:eastAsia="Times New Roman" w:hAnsi="Times" w:cs="Times New Roman"/>
          <w:b/>
          <w:bCs/>
          <w:sz w:val="23"/>
          <w:szCs w:val="23"/>
        </w:rPr>
      </w:pPr>
    </w:p>
    <w:p w14:paraId="1BB55613" w14:textId="77777777" w:rsidR="0055110B" w:rsidRPr="0055110B" w:rsidRDefault="0055110B" w:rsidP="0055110B">
      <w:pPr>
        <w:rPr>
          <w:rFonts w:ascii="Times" w:eastAsia="Times New Roman" w:hAnsi="Times" w:cs="Times New Roman"/>
          <w:b/>
          <w:bCs/>
          <w:sz w:val="23"/>
          <w:szCs w:val="23"/>
        </w:rPr>
      </w:pPr>
      <w:r w:rsidRPr="0055110B">
        <w:rPr>
          <w:rFonts w:ascii="Times" w:eastAsia="Times New Roman" w:hAnsi="Times" w:cs="Times New Roman"/>
          <w:b/>
          <w:bCs/>
          <w:sz w:val="23"/>
          <w:szCs w:val="23"/>
        </w:rPr>
        <w:t xml:space="preserve">General Prohibition on Reporting Inaccurate Information </w:t>
      </w:r>
    </w:p>
    <w:p w14:paraId="51DC2B54" w14:textId="067714C1" w:rsidR="0055110B" w:rsidRPr="0055110B" w:rsidRDefault="0055110B" w:rsidP="0055110B">
      <w:pPr>
        <w:rPr>
          <w:rFonts w:ascii="Times" w:eastAsia="Times New Roman" w:hAnsi="Times" w:cs="Times New Roman"/>
          <w:sz w:val="23"/>
          <w:szCs w:val="23"/>
        </w:rPr>
      </w:pPr>
      <w:r w:rsidRPr="0055110B">
        <w:rPr>
          <w:rFonts w:ascii="Times" w:eastAsia="Times New Roman" w:hAnsi="Times" w:cs="Times New Roman"/>
          <w:sz w:val="23"/>
          <w:szCs w:val="23"/>
        </w:rPr>
        <w:t xml:space="preserve">The FCRA prohibits information furnishers from providing information to a CRA that they know or have reasonable cause to believe is inaccurate. However, the furnisher is not subject to this general prohibition if it clearly and conspicuously specifies an address to which consumers may write to notify the furnisher that certain information is inaccurate. Sections 623(a)(1)(A) and (a)(1)(C). </w:t>
      </w:r>
    </w:p>
    <w:p w14:paraId="2163DE6C" w14:textId="77777777" w:rsidR="0055110B" w:rsidRPr="0055110B" w:rsidRDefault="0055110B" w:rsidP="0055110B">
      <w:pPr>
        <w:rPr>
          <w:rFonts w:ascii="Times" w:eastAsia="Times New Roman" w:hAnsi="Times" w:cs="Times New Roman"/>
          <w:sz w:val="23"/>
          <w:szCs w:val="23"/>
        </w:rPr>
      </w:pPr>
    </w:p>
    <w:p w14:paraId="40068DB4" w14:textId="77777777" w:rsidR="0055110B" w:rsidRPr="0055110B" w:rsidRDefault="0055110B" w:rsidP="0055110B">
      <w:pPr>
        <w:rPr>
          <w:rFonts w:ascii="Times" w:eastAsia="Times New Roman" w:hAnsi="Times" w:cs="Times New Roman"/>
          <w:b/>
          <w:bCs/>
          <w:sz w:val="23"/>
          <w:szCs w:val="23"/>
        </w:rPr>
      </w:pPr>
      <w:r w:rsidRPr="0055110B">
        <w:rPr>
          <w:rFonts w:ascii="Times" w:eastAsia="Times New Roman" w:hAnsi="Times" w:cs="Times New Roman"/>
          <w:b/>
          <w:bCs/>
          <w:sz w:val="23"/>
          <w:szCs w:val="23"/>
        </w:rPr>
        <w:t xml:space="preserve">Duty to Correct and Update Information </w:t>
      </w:r>
    </w:p>
    <w:p w14:paraId="53F72EFA" w14:textId="305F2222" w:rsidR="0055110B" w:rsidRPr="0055110B" w:rsidRDefault="0055110B" w:rsidP="0055110B">
      <w:pPr>
        <w:rPr>
          <w:rFonts w:ascii="Times" w:eastAsia="Times New Roman" w:hAnsi="Times" w:cs="Times New Roman"/>
          <w:sz w:val="23"/>
          <w:szCs w:val="23"/>
        </w:rPr>
      </w:pPr>
      <w:r w:rsidRPr="0055110B">
        <w:rPr>
          <w:rFonts w:ascii="Times" w:eastAsia="Times New Roman" w:hAnsi="Times" w:cs="Times New Roman"/>
          <w:sz w:val="23"/>
          <w:szCs w:val="23"/>
        </w:rPr>
        <w:t xml:space="preserve">If at any time a person who regularly and in the ordinary course of business furnishes information to one or more CRAs determines that the information provided is not complete or accurate, the furnisher must promptly provide complete and accurate information to the CRA. In addition, the furnisher must notify all CRAs that received the information of any corrections and must thereafter report only the complete and accurate information. Section 623(a)(2). </w:t>
      </w:r>
    </w:p>
    <w:p w14:paraId="3078D184" w14:textId="77777777" w:rsidR="0055110B" w:rsidRPr="0055110B" w:rsidRDefault="0055110B" w:rsidP="0055110B">
      <w:pPr>
        <w:rPr>
          <w:rFonts w:ascii="Times" w:eastAsia="Times New Roman" w:hAnsi="Times" w:cs="Times New Roman"/>
          <w:sz w:val="23"/>
          <w:szCs w:val="23"/>
        </w:rPr>
      </w:pPr>
    </w:p>
    <w:p w14:paraId="7C5A2755" w14:textId="77777777" w:rsidR="0055110B" w:rsidRPr="0055110B" w:rsidRDefault="0055110B" w:rsidP="0055110B">
      <w:pPr>
        <w:rPr>
          <w:rFonts w:ascii="Times" w:eastAsia="Times New Roman" w:hAnsi="Times" w:cs="Times New Roman"/>
          <w:b/>
          <w:bCs/>
          <w:sz w:val="23"/>
          <w:szCs w:val="23"/>
        </w:rPr>
      </w:pPr>
      <w:r w:rsidRPr="0055110B">
        <w:rPr>
          <w:rFonts w:ascii="Times" w:eastAsia="Times New Roman" w:hAnsi="Times" w:cs="Times New Roman"/>
          <w:b/>
          <w:bCs/>
          <w:sz w:val="23"/>
          <w:szCs w:val="23"/>
        </w:rPr>
        <w:t xml:space="preserve">Duties After Notice of Dispute from Consumer </w:t>
      </w:r>
    </w:p>
    <w:p w14:paraId="0D595E6B" w14:textId="77777777" w:rsidR="0055110B" w:rsidRPr="0055110B" w:rsidRDefault="0055110B" w:rsidP="0055110B">
      <w:pPr>
        <w:rPr>
          <w:rFonts w:ascii="Times" w:eastAsia="Times New Roman" w:hAnsi="Times" w:cs="Times New Roman"/>
          <w:sz w:val="23"/>
          <w:szCs w:val="23"/>
        </w:rPr>
      </w:pPr>
      <w:r w:rsidRPr="0055110B">
        <w:rPr>
          <w:rFonts w:ascii="Times" w:eastAsia="Times New Roman" w:hAnsi="Times" w:cs="Times New Roman"/>
          <w:sz w:val="23"/>
          <w:szCs w:val="23"/>
        </w:rPr>
        <w:t xml:space="preserve">If a consumer notifies a furnisher, at an address specified by the furnisher for such notices, that specific information is inaccurate, and the information is, in fact, inaccurate, the furnisher must thereafter report the correct information to CRAs. Section 623(a)(1)(B). </w:t>
      </w:r>
    </w:p>
    <w:p w14:paraId="4FBB653D" w14:textId="77777777" w:rsidR="0055110B" w:rsidRPr="0055110B" w:rsidRDefault="0055110B" w:rsidP="0055110B">
      <w:pPr>
        <w:rPr>
          <w:rFonts w:ascii="Times" w:eastAsia="Times New Roman" w:hAnsi="Times" w:cs="Times New Roman"/>
          <w:sz w:val="23"/>
          <w:szCs w:val="23"/>
        </w:rPr>
      </w:pPr>
    </w:p>
    <w:p w14:paraId="02915A46" w14:textId="77777777" w:rsidR="0055110B" w:rsidRPr="0055110B" w:rsidRDefault="0055110B" w:rsidP="0055110B">
      <w:pPr>
        <w:rPr>
          <w:rFonts w:ascii="Times" w:eastAsia="Times New Roman" w:hAnsi="Times" w:cs="Times New Roman"/>
          <w:sz w:val="23"/>
          <w:szCs w:val="23"/>
        </w:rPr>
      </w:pPr>
      <w:r w:rsidRPr="0055110B">
        <w:rPr>
          <w:rFonts w:ascii="Times" w:eastAsia="Times New Roman" w:hAnsi="Times" w:cs="Times New Roman"/>
          <w:sz w:val="23"/>
          <w:szCs w:val="23"/>
        </w:rPr>
        <w:t xml:space="preserve">If a consumer notifies a furnisher that the consumer disputes the completeness or accuracy of any information reported by the furnisher, the furnisher may not subsequently report that information to a CRA without providing notice of the dispute. Section 623(a)(3). </w:t>
      </w:r>
    </w:p>
    <w:p w14:paraId="5CE354BD" w14:textId="77777777" w:rsidR="0055110B" w:rsidRPr="0055110B" w:rsidRDefault="0055110B" w:rsidP="0055110B">
      <w:pPr>
        <w:rPr>
          <w:rFonts w:ascii="Times" w:eastAsia="Times New Roman" w:hAnsi="Times" w:cs="Times New Roman"/>
          <w:sz w:val="23"/>
          <w:szCs w:val="23"/>
        </w:rPr>
      </w:pPr>
      <w:r w:rsidRPr="0055110B">
        <w:rPr>
          <w:rFonts w:ascii="Times" w:eastAsia="Times New Roman" w:hAnsi="Times" w:cs="Times New Roman"/>
          <w:sz w:val="23"/>
          <w:szCs w:val="23"/>
        </w:rPr>
        <w:t xml:space="preserve">The federal banking and credit union regulators and the CFPB will issue regulations that will identify when an information furnisher must investigate a dispute made directly to the furnisher by a consumer. Once these regulations are issued, furnishers must comply with them and complete an </w:t>
      </w:r>
      <w:r w:rsidRPr="0055110B">
        <w:rPr>
          <w:rFonts w:ascii="Times" w:eastAsia="Times New Roman" w:hAnsi="Times" w:cs="Times New Roman"/>
          <w:sz w:val="23"/>
          <w:szCs w:val="23"/>
        </w:rPr>
        <w:lastRenderedPageBreak/>
        <w:t xml:space="preserve">investigation within 30 days (or 45 </w:t>
      </w:r>
      <w:proofErr w:type="gramStart"/>
      <w:r w:rsidRPr="0055110B">
        <w:rPr>
          <w:rFonts w:ascii="Times" w:eastAsia="Times New Roman" w:hAnsi="Times" w:cs="Times New Roman"/>
          <w:sz w:val="23"/>
          <w:szCs w:val="23"/>
        </w:rPr>
        <w:t>days, if</w:t>
      </w:r>
      <w:proofErr w:type="gramEnd"/>
      <w:r w:rsidRPr="0055110B">
        <w:rPr>
          <w:rFonts w:ascii="Times" w:eastAsia="Times New Roman" w:hAnsi="Times" w:cs="Times New Roman"/>
          <w:sz w:val="23"/>
          <w:szCs w:val="23"/>
        </w:rPr>
        <w:t xml:space="preserve"> the consumer later provides relevant additional information) unless the dispute is frivolous or irrelevant or comes from a “credit repair organization.” The CFPB regulations will be available at consumerfinance.gov. Section 623(a)(8). </w:t>
      </w:r>
    </w:p>
    <w:p w14:paraId="0859CAEE" w14:textId="77777777" w:rsidR="0055110B" w:rsidRPr="0055110B" w:rsidRDefault="0055110B" w:rsidP="0055110B">
      <w:pPr>
        <w:rPr>
          <w:rFonts w:ascii="Times" w:eastAsia="Times New Roman" w:hAnsi="Times" w:cs="Times New Roman"/>
          <w:sz w:val="23"/>
          <w:szCs w:val="23"/>
        </w:rPr>
      </w:pPr>
    </w:p>
    <w:p w14:paraId="387CE87F" w14:textId="77777777" w:rsidR="0055110B" w:rsidRPr="0055110B" w:rsidRDefault="0055110B" w:rsidP="0055110B">
      <w:pPr>
        <w:rPr>
          <w:rFonts w:ascii="Times" w:eastAsia="Times New Roman" w:hAnsi="Times" w:cs="Times New Roman"/>
          <w:b/>
          <w:bCs/>
          <w:sz w:val="23"/>
          <w:szCs w:val="23"/>
        </w:rPr>
      </w:pPr>
      <w:r w:rsidRPr="0055110B">
        <w:rPr>
          <w:rFonts w:ascii="Times" w:eastAsia="Times New Roman" w:hAnsi="Times" w:cs="Times New Roman"/>
          <w:b/>
          <w:bCs/>
          <w:sz w:val="23"/>
          <w:szCs w:val="23"/>
        </w:rPr>
        <w:t xml:space="preserve">Duties After Notice of Dispute from Consumer Reporting Agency </w:t>
      </w:r>
    </w:p>
    <w:p w14:paraId="5BA6A08F" w14:textId="77777777" w:rsidR="0055110B" w:rsidRPr="0055110B" w:rsidRDefault="0055110B" w:rsidP="0055110B">
      <w:pPr>
        <w:rPr>
          <w:rFonts w:ascii="Times" w:eastAsia="Times New Roman" w:hAnsi="Times" w:cs="Times New Roman"/>
          <w:sz w:val="23"/>
          <w:szCs w:val="23"/>
        </w:rPr>
      </w:pPr>
      <w:r w:rsidRPr="0055110B">
        <w:rPr>
          <w:rFonts w:ascii="Times" w:eastAsia="Times New Roman" w:hAnsi="Times" w:cs="Times New Roman"/>
          <w:sz w:val="23"/>
          <w:szCs w:val="23"/>
        </w:rPr>
        <w:t>If a CRA notifies a furnisher that a consumer disputes the completeness or accuracy of information provided by the furnisher, the furnisher has a duty to follow certain procedures. The furnisher must:</w:t>
      </w:r>
    </w:p>
    <w:p w14:paraId="6886B1C2" w14:textId="77777777" w:rsidR="0055110B" w:rsidRPr="0055110B" w:rsidRDefault="0055110B" w:rsidP="0055110B">
      <w:pPr>
        <w:rPr>
          <w:rFonts w:ascii="Times" w:eastAsia="Times New Roman" w:hAnsi="Times" w:cs="Times New Roman"/>
          <w:sz w:val="23"/>
          <w:szCs w:val="23"/>
        </w:rPr>
      </w:pPr>
      <w:r w:rsidRPr="0055110B">
        <w:rPr>
          <w:rFonts w:ascii="Times" w:eastAsia="Times New Roman" w:hAnsi="Times" w:cs="Times New Roman"/>
          <w:sz w:val="23"/>
          <w:szCs w:val="23"/>
        </w:rPr>
        <w:t xml:space="preserve"> • Conduct an investigation and review all relevant information provided by the CRA, including information given to the CRA by the consumer. Sections 623(b)(1)(A) and (b)(1)(B). </w:t>
      </w:r>
    </w:p>
    <w:p w14:paraId="46648C18" w14:textId="77777777" w:rsidR="0055110B" w:rsidRPr="0055110B" w:rsidRDefault="0055110B" w:rsidP="0055110B">
      <w:pPr>
        <w:rPr>
          <w:rFonts w:ascii="Times" w:eastAsia="Times New Roman" w:hAnsi="Times" w:cs="Times New Roman"/>
          <w:sz w:val="23"/>
          <w:szCs w:val="23"/>
        </w:rPr>
      </w:pPr>
      <w:r w:rsidRPr="0055110B">
        <w:rPr>
          <w:rFonts w:ascii="Times" w:eastAsia="Times New Roman" w:hAnsi="Times" w:cs="Times New Roman"/>
          <w:sz w:val="23"/>
          <w:szCs w:val="23"/>
        </w:rPr>
        <w:t xml:space="preserve">• Report the results to the CRA that referred the dispute, and, if the investigation establishes that the information was, in fact, incomplete or inaccurate, report the results to all CRAs to which the furnisher provided the information that compile and maintain files on a nationwide basis. Sections 623(b)(1)(C) and (b)(1)(D). </w:t>
      </w:r>
    </w:p>
    <w:p w14:paraId="55B75139" w14:textId="77777777" w:rsidR="0055110B" w:rsidRPr="0055110B" w:rsidRDefault="0055110B" w:rsidP="0055110B">
      <w:pPr>
        <w:rPr>
          <w:rFonts w:ascii="Times" w:eastAsia="Times New Roman" w:hAnsi="Times" w:cs="Times New Roman"/>
          <w:sz w:val="23"/>
          <w:szCs w:val="23"/>
        </w:rPr>
      </w:pPr>
      <w:r w:rsidRPr="0055110B">
        <w:rPr>
          <w:rFonts w:ascii="Times" w:eastAsia="Times New Roman" w:hAnsi="Times" w:cs="Times New Roman"/>
          <w:sz w:val="23"/>
          <w:szCs w:val="23"/>
        </w:rPr>
        <w:t xml:space="preserve">• Complete the above steps within 30 days from the date the CRA receives the dispute (or 45 </w:t>
      </w:r>
      <w:proofErr w:type="gramStart"/>
      <w:r w:rsidRPr="0055110B">
        <w:rPr>
          <w:rFonts w:ascii="Times" w:eastAsia="Times New Roman" w:hAnsi="Times" w:cs="Times New Roman"/>
          <w:sz w:val="23"/>
          <w:szCs w:val="23"/>
        </w:rPr>
        <w:t>days, if</w:t>
      </w:r>
      <w:proofErr w:type="gramEnd"/>
      <w:r w:rsidRPr="0055110B">
        <w:rPr>
          <w:rFonts w:ascii="Times" w:eastAsia="Times New Roman" w:hAnsi="Times" w:cs="Times New Roman"/>
          <w:sz w:val="23"/>
          <w:szCs w:val="23"/>
        </w:rPr>
        <w:t xml:space="preserve"> the consumer later provides relevant additional information to the CRA). Section 623(b)(2). </w:t>
      </w:r>
    </w:p>
    <w:p w14:paraId="1A2D57EE" w14:textId="722781A6" w:rsidR="0055110B" w:rsidRPr="0055110B" w:rsidRDefault="0055110B" w:rsidP="0055110B">
      <w:pPr>
        <w:rPr>
          <w:rFonts w:ascii="Times" w:eastAsia="Times New Roman" w:hAnsi="Times" w:cs="Times New Roman"/>
          <w:sz w:val="23"/>
          <w:szCs w:val="23"/>
        </w:rPr>
      </w:pPr>
      <w:r w:rsidRPr="0055110B">
        <w:rPr>
          <w:rFonts w:ascii="Times" w:eastAsia="Times New Roman" w:hAnsi="Times" w:cs="Times New Roman"/>
          <w:sz w:val="23"/>
          <w:szCs w:val="23"/>
        </w:rPr>
        <w:t xml:space="preserve">• Promptly modify or delete the information or block its reporting. Section 623(b)(1)(E). </w:t>
      </w:r>
    </w:p>
    <w:p w14:paraId="1BAF467B" w14:textId="77777777" w:rsidR="0055110B" w:rsidRPr="0055110B" w:rsidRDefault="0055110B" w:rsidP="0055110B">
      <w:pPr>
        <w:rPr>
          <w:rFonts w:ascii="Times" w:eastAsia="Times New Roman" w:hAnsi="Times" w:cs="Times New Roman"/>
          <w:b/>
          <w:bCs/>
          <w:sz w:val="23"/>
          <w:szCs w:val="23"/>
        </w:rPr>
      </w:pPr>
    </w:p>
    <w:p w14:paraId="394878AD" w14:textId="77777777" w:rsidR="0055110B" w:rsidRPr="0055110B" w:rsidRDefault="0055110B" w:rsidP="0055110B">
      <w:pPr>
        <w:rPr>
          <w:rFonts w:ascii="Times" w:eastAsia="Times New Roman" w:hAnsi="Times" w:cs="Times New Roman"/>
          <w:b/>
          <w:bCs/>
          <w:sz w:val="23"/>
          <w:szCs w:val="23"/>
        </w:rPr>
      </w:pPr>
      <w:r w:rsidRPr="0055110B">
        <w:rPr>
          <w:rFonts w:ascii="Times" w:eastAsia="Times New Roman" w:hAnsi="Times" w:cs="Times New Roman"/>
          <w:b/>
          <w:bCs/>
          <w:sz w:val="23"/>
          <w:szCs w:val="23"/>
        </w:rPr>
        <w:t>Duty to Report Voluntary Closing of Credit Accounts</w:t>
      </w:r>
    </w:p>
    <w:p w14:paraId="3369234A" w14:textId="2C4A4F8D" w:rsidR="0055110B" w:rsidRPr="0055110B" w:rsidRDefault="0055110B" w:rsidP="0055110B">
      <w:pPr>
        <w:rPr>
          <w:rFonts w:ascii="Times" w:eastAsia="Times New Roman" w:hAnsi="Times" w:cs="Times New Roman"/>
          <w:sz w:val="23"/>
          <w:szCs w:val="23"/>
        </w:rPr>
      </w:pPr>
      <w:r w:rsidRPr="0055110B">
        <w:rPr>
          <w:rFonts w:ascii="Times" w:eastAsia="Times New Roman" w:hAnsi="Times" w:cs="Times New Roman"/>
          <w:sz w:val="23"/>
          <w:szCs w:val="23"/>
        </w:rPr>
        <w:t xml:space="preserve">If a consumer voluntarily closes a credit account, any person who regularly and in the ordinary course of business furnishes information to one or more CRAs must report this fact when it provides information to CRAs for the time period in which the account was closed. Section 623(a)(4). </w:t>
      </w:r>
    </w:p>
    <w:p w14:paraId="171555F4" w14:textId="77777777" w:rsidR="0055110B" w:rsidRPr="0055110B" w:rsidRDefault="0055110B" w:rsidP="0055110B">
      <w:pPr>
        <w:rPr>
          <w:rFonts w:ascii="Times" w:eastAsia="Times New Roman" w:hAnsi="Times" w:cs="Times New Roman"/>
          <w:b/>
          <w:bCs/>
          <w:sz w:val="23"/>
          <w:szCs w:val="23"/>
        </w:rPr>
      </w:pPr>
    </w:p>
    <w:p w14:paraId="15E14726" w14:textId="77777777" w:rsidR="0055110B" w:rsidRPr="0055110B" w:rsidRDefault="0055110B" w:rsidP="0055110B">
      <w:pPr>
        <w:rPr>
          <w:rFonts w:ascii="Times" w:eastAsia="Times New Roman" w:hAnsi="Times" w:cs="Times New Roman"/>
          <w:b/>
          <w:bCs/>
          <w:sz w:val="23"/>
          <w:szCs w:val="23"/>
        </w:rPr>
      </w:pPr>
      <w:r w:rsidRPr="0055110B">
        <w:rPr>
          <w:rFonts w:ascii="Times" w:eastAsia="Times New Roman" w:hAnsi="Times" w:cs="Times New Roman"/>
          <w:b/>
          <w:bCs/>
          <w:sz w:val="23"/>
          <w:szCs w:val="23"/>
        </w:rPr>
        <w:t xml:space="preserve">Duty to Report Dates of Delinquencies </w:t>
      </w:r>
    </w:p>
    <w:p w14:paraId="283A7BDA" w14:textId="77777777" w:rsidR="0055110B" w:rsidRPr="0055110B" w:rsidRDefault="0055110B" w:rsidP="0055110B">
      <w:pPr>
        <w:rPr>
          <w:rFonts w:ascii="Times" w:eastAsia="Times New Roman" w:hAnsi="Times" w:cs="Times New Roman"/>
          <w:sz w:val="23"/>
          <w:szCs w:val="23"/>
        </w:rPr>
      </w:pPr>
      <w:r w:rsidRPr="0055110B">
        <w:rPr>
          <w:rFonts w:ascii="Times" w:eastAsia="Times New Roman" w:hAnsi="Times" w:cs="Times New Roman"/>
          <w:sz w:val="23"/>
          <w:szCs w:val="23"/>
        </w:rPr>
        <w:t xml:space="preserve">If a furnisher reports information concerning a delinquent account placed for collection, charged to profit or loss, or subject to any similar action, the furnisher must, within 90 days after reporting the information, provide the CRA with the month and the year of the commencement of the delinquency that immediately preceded the action, so that the agency will know how long to keep the information in the consumer's file. Section 623(a)(5). </w:t>
      </w:r>
    </w:p>
    <w:p w14:paraId="3F18881B" w14:textId="77777777" w:rsidR="0055110B" w:rsidRPr="0055110B" w:rsidRDefault="0055110B" w:rsidP="0055110B">
      <w:pPr>
        <w:rPr>
          <w:rFonts w:ascii="Times" w:eastAsia="Times New Roman" w:hAnsi="Times" w:cs="Times New Roman"/>
          <w:sz w:val="23"/>
          <w:szCs w:val="23"/>
        </w:rPr>
      </w:pPr>
    </w:p>
    <w:p w14:paraId="0DE3CE28" w14:textId="77777777" w:rsidR="0055110B" w:rsidRPr="0055110B" w:rsidRDefault="0055110B" w:rsidP="0055110B">
      <w:pPr>
        <w:rPr>
          <w:rFonts w:ascii="Times" w:eastAsia="Times New Roman" w:hAnsi="Times" w:cs="Times New Roman"/>
          <w:sz w:val="23"/>
          <w:szCs w:val="23"/>
        </w:rPr>
      </w:pPr>
      <w:r w:rsidRPr="0055110B">
        <w:rPr>
          <w:rFonts w:ascii="Times" w:eastAsia="Times New Roman" w:hAnsi="Times" w:cs="Times New Roman"/>
          <w:sz w:val="23"/>
          <w:szCs w:val="23"/>
        </w:rPr>
        <w:t xml:space="preserve">Any person, such as a debt collector, that has acquired or is responsible for collecting delinquent accounts and that reports information to CRAs may comply with the requirements of Section 623(a)(5) (until there is a consumer dispute) by reporting the same delinquency date previously reported by the creditor. If the creditor did not report this date, they may comply with the FCRA by establishing reasonable procedures to obtain and report delinquency dates, or, if a delinquency date cannot be reasonably obtained, by following reasonable procedures to ensure that the date reported precedes the date when the account was placed for collection, charged to profit or loss, or subjected to any similar action. Section 623(a)(5). </w:t>
      </w:r>
    </w:p>
    <w:p w14:paraId="016738B2" w14:textId="77777777" w:rsidR="0055110B" w:rsidRPr="0055110B" w:rsidRDefault="0055110B" w:rsidP="0055110B">
      <w:pPr>
        <w:rPr>
          <w:rFonts w:ascii="Times" w:eastAsia="Times New Roman" w:hAnsi="Times" w:cs="Times New Roman"/>
          <w:sz w:val="23"/>
          <w:szCs w:val="23"/>
        </w:rPr>
      </w:pPr>
    </w:p>
    <w:p w14:paraId="64B8A922" w14:textId="77777777" w:rsidR="0055110B" w:rsidRPr="0055110B" w:rsidRDefault="0055110B" w:rsidP="0055110B">
      <w:pPr>
        <w:rPr>
          <w:rFonts w:ascii="Times" w:eastAsia="Times New Roman" w:hAnsi="Times" w:cs="Times New Roman"/>
          <w:b/>
          <w:bCs/>
          <w:sz w:val="23"/>
          <w:szCs w:val="23"/>
        </w:rPr>
      </w:pPr>
      <w:r w:rsidRPr="0055110B">
        <w:rPr>
          <w:rFonts w:ascii="Times" w:eastAsia="Times New Roman" w:hAnsi="Times" w:cs="Times New Roman"/>
          <w:b/>
          <w:bCs/>
          <w:sz w:val="23"/>
          <w:szCs w:val="23"/>
        </w:rPr>
        <w:t xml:space="preserve">Duties of Financial Institutions When Reporting Negative Information </w:t>
      </w:r>
    </w:p>
    <w:p w14:paraId="1C71B706" w14:textId="77777777" w:rsidR="0055110B" w:rsidRPr="0055110B" w:rsidRDefault="0055110B" w:rsidP="0055110B">
      <w:pPr>
        <w:rPr>
          <w:rFonts w:ascii="Times" w:eastAsia="Times New Roman" w:hAnsi="Times" w:cs="Times New Roman"/>
          <w:sz w:val="23"/>
          <w:szCs w:val="23"/>
        </w:rPr>
      </w:pPr>
      <w:r w:rsidRPr="0055110B">
        <w:rPr>
          <w:rFonts w:ascii="Times" w:eastAsia="Times New Roman" w:hAnsi="Times" w:cs="Times New Roman"/>
          <w:sz w:val="23"/>
          <w:szCs w:val="23"/>
        </w:rPr>
        <w:t xml:space="preserve">Financial institutions that furnish information to “nationwide” consumer reporting agencies, as defined in Section 603(p), must notify consumers in writing if they may furnish or have furnished negative information to a CRA. Section 623(a)(7). The Consumer Financial Protection Bureau has prescribed model disclosures, 12 CFR Part 1022, App. B. </w:t>
      </w:r>
    </w:p>
    <w:p w14:paraId="4AE1CCA5" w14:textId="77777777" w:rsidR="0055110B" w:rsidRPr="0055110B" w:rsidRDefault="0055110B" w:rsidP="0055110B">
      <w:pPr>
        <w:rPr>
          <w:rFonts w:ascii="Times" w:eastAsia="Times New Roman" w:hAnsi="Times" w:cs="Times New Roman"/>
          <w:b/>
          <w:bCs/>
          <w:sz w:val="23"/>
          <w:szCs w:val="23"/>
        </w:rPr>
      </w:pPr>
    </w:p>
    <w:p w14:paraId="3F06D7A3" w14:textId="77777777" w:rsidR="0055110B" w:rsidRPr="0055110B" w:rsidRDefault="0055110B" w:rsidP="0055110B">
      <w:pPr>
        <w:rPr>
          <w:rFonts w:ascii="Times" w:eastAsia="Times New Roman" w:hAnsi="Times" w:cs="Times New Roman"/>
          <w:b/>
          <w:bCs/>
          <w:sz w:val="23"/>
          <w:szCs w:val="23"/>
        </w:rPr>
      </w:pPr>
      <w:r w:rsidRPr="0055110B">
        <w:rPr>
          <w:rFonts w:ascii="Times" w:eastAsia="Times New Roman" w:hAnsi="Times" w:cs="Times New Roman"/>
          <w:b/>
          <w:bCs/>
          <w:sz w:val="23"/>
          <w:szCs w:val="23"/>
        </w:rPr>
        <w:t xml:space="preserve">Duties When Furnishing Medical Information </w:t>
      </w:r>
    </w:p>
    <w:p w14:paraId="73BEB36D" w14:textId="77777777" w:rsidR="0055110B" w:rsidRPr="0055110B" w:rsidRDefault="0055110B" w:rsidP="0055110B">
      <w:pPr>
        <w:rPr>
          <w:rFonts w:ascii="Times" w:eastAsia="Times New Roman" w:hAnsi="Times" w:cs="Times New Roman"/>
          <w:sz w:val="23"/>
          <w:szCs w:val="23"/>
        </w:rPr>
      </w:pPr>
      <w:r w:rsidRPr="0055110B">
        <w:rPr>
          <w:rFonts w:ascii="Times" w:eastAsia="Times New Roman" w:hAnsi="Times" w:cs="Times New Roman"/>
          <w:sz w:val="23"/>
          <w:szCs w:val="23"/>
        </w:rPr>
        <w:t xml:space="preserve">A furnisher whose primary business is providing medical services, products, or devices (and such furnisher's agents or assignees) is a medical information furnisher for the purposes of the FCRA and must notify all CRAs to which it reports of this fact. Section 623(a)(9). This notice will enable CRAs to comply with their duties under Section 604(g) when reporting medical information. </w:t>
      </w:r>
    </w:p>
    <w:p w14:paraId="04FD1120" w14:textId="77777777" w:rsidR="0055110B" w:rsidRPr="0055110B" w:rsidRDefault="0055110B" w:rsidP="0055110B">
      <w:pPr>
        <w:rPr>
          <w:rFonts w:ascii="Times" w:eastAsia="Times New Roman" w:hAnsi="Times" w:cs="Times New Roman"/>
          <w:b/>
          <w:bCs/>
          <w:sz w:val="23"/>
          <w:szCs w:val="23"/>
        </w:rPr>
      </w:pPr>
    </w:p>
    <w:p w14:paraId="75BC5330" w14:textId="77777777" w:rsidR="0055110B" w:rsidRPr="0055110B" w:rsidRDefault="0055110B" w:rsidP="0055110B">
      <w:pPr>
        <w:rPr>
          <w:rFonts w:ascii="Times" w:eastAsia="Times New Roman" w:hAnsi="Times" w:cs="Times New Roman"/>
          <w:b/>
          <w:bCs/>
          <w:sz w:val="23"/>
          <w:szCs w:val="23"/>
        </w:rPr>
      </w:pPr>
      <w:r w:rsidRPr="0055110B">
        <w:rPr>
          <w:rFonts w:ascii="Times" w:eastAsia="Times New Roman" w:hAnsi="Times" w:cs="Times New Roman"/>
          <w:b/>
          <w:bCs/>
          <w:sz w:val="23"/>
          <w:szCs w:val="23"/>
        </w:rPr>
        <w:t xml:space="preserve">Duties when ID Theft Occurs </w:t>
      </w:r>
    </w:p>
    <w:p w14:paraId="55C8F5A3" w14:textId="77777777" w:rsidR="0055110B" w:rsidRPr="0055110B" w:rsidRDefault="0055110B" w:rsidP="0055110B">
      <w:pPr>
        <w:rPr>
          <w:rFonts w:ascii="Times" w:eastAsia="Times New Roman" w:hAnsi="Times" w:cs="Times New Roman"/>
          <w:sz w:val="23"/>
          <w:szCs w:val="23"/>
        </w:rPr>
      </w:pPr>
      <w:r w:rsidRPr="0055110B">
        <w:rPr>
          <w:rFonts w:ascii="Times" w:eastAsia="Times New Roman" w:hAnsi="Times" w:cs="Times New Roman"/>
          <w:sz w:val="23"/>
          <w:szCs w:val="23"/>
        </w:rPr>
        <w:t xml:space="preserve">All furnishers must have in place reasonable procedures to respond to notifications from CRAs that information furnished is the result of identity theft, and to prevent refurnishing the information in the future. A furnisher may not furnish information that a consumer has identified as resulting from identity theft unless the furnisher subsequently knows or is informed by the consumer that the information is correct. Section 623(a)(6). If a furnisher learns that it has furnished inaccurate information due to identity theft, it must notify each consumer reporting agency of the correct information and must thereafter report only complete and accurate information. Section 623(a)(2). When any furnisher of information is notified pursuant to the procedures set forth in Section 605B that a debt has resulted from identity theft, the furnisher may not sell, transfer, or place for collection the debt except in certain limited circumstances. Section 615(f). </w:t>
      </w:r>
    </w:p>
    <w:p w14:paraId="04E69A94" w14:textId="77777777" w:rsidR="0055110B" w:rsidRPr="0055110B" w:rsidRDefault="0055110B" w:rsidP="0055110B">
      <w:pPr>
        <w:rPr>
          <w:rFonts w:ascii="Times" w:eastAsia="Times New Roman" w:hAnsi="Times" w:cs="Times New Roman"/>
          <w:sz w:val="23"/>
          <w:szCs w:val="23"/>
        </w:rPr>
      </w:pPr>
    </w:p>
    <w:p w14:paraId="225629CB" w14:textId="77777777" w:rsidR="0055110B" w:rsidRPr="0055110B" w:rsidRDefault="0055110B" w:rsidP="0055110B">
      <w:pPr>
        <w:rPr>
          <w:rFonts w:ascii="Times" w:eastAsia="Times New Roman" w:hAnsi="Times" w:cs="Times New Roman"/>
          <w:sz w:val="23"/>
          <w:szCs w:val="23"/>
        </w:rPr>
      </w:pPr>
      <w:r w:rsidRPr="0055110B">
        <w:rPr>
          <w:rFonts w:ascii="Times" w:eastAsia="Times New Roman" w:hAnsi="Times" w:cs="Times New Roman"/>
          <w:sz w:val="23"/>
          <w:szCs w:val="23"/>
        </w:rPr>
        <w:t xml:space="preserve">The Consumer Financial Protection Bureau website, consumerfinance.gov/learnmore, has more information about the FCRA. </w:t>
      </w:r>
    </w:p>
    <w:p w14:paraId="0BF3D179" w14:textId="77777777" w:rsidR="0055110B" w:rsidRPr="0055110B" w:rsidRDefault="0055110B" w:rsidP="0055110B">
      <w:pPr>
        <w:rPr>
          <w:rFonts w:ascii="Times" w:eastAsia="Times New Roman" w:hAnsi="Times" w:cs="Times New Roman"/>
          <w:b/>
          <w:bCs/>
          <w:sz w:val="23"/>
          <w:szCs w:val="23"/>
        </w:rPr>
      </w:pPr>
    </w:p>
    <w:p w14:paraId="51CB63DF" w14:textId="02C34598" w:rsidR="0055110B" w:rsidRPr="0055110B" w:rsidRDefault="0055110B">
      <w:pPr>
        <w:rPr>
          <w:rFonts w:ascii="Times" w:hAnsi="Times"/>
          <w:sz w:val="23"/>
          <w:szCs w:val="23"/>
        </w:rPr>
      </w:pPr>
    </w:p>
    <w:p w14:paraId="18519B0F" w14:textId="0DB642D4" w:rsidR="0055110B" w:rsidRPr="0055110B" w:rsidRDefault="0055110B">
      <w:pPr>
        <w:rPr>
          <w:rFonts w:ascii="Times" w:hAnsi="Times"/>
          <w:sz w:val="23"/>
          <w:szCs w:val="23"/>
        </w:rPr>
      </w:pPr>
    </w:p>
    <w:p w14:paraId="242E8839" w14:textId="282CB7F1" w:rsidR="0055110B" w:rsidRPr="0055110B" w:rsidRDefault="0055110B">
      <w:pPr>
        <w:rPr>
          <w:rFonts w:ascii="Times" w:hAnsi="Times"/>
          <w:sz w:val="23"/>
          <w:szCs w:val="23"/>
        </w:rPr>
      </w:pPr>
    </w:p>
    <w:p w14:paraId="56996C18" w14:textId="56D4C2DD" w:rsidR="0055110B" w:rsidRPr="0055110B" w:rsidRDefault="0055110B">
      <w:pPr>
        <w:rPr>
          <w:rFonts w:ascii="Times" w:hAnsi="Times"/>
          <w:sz w:val="23"/>
          <w:szCs w:val="23"/>
        </w:rPr>
      </w:pPr>
    </w:p>
    <w:p w14:paraId="3B447293" w14:textId="77777777" w:rsidR="0055110B" w:rsidRPr="0055110B" w:rsidRDefault="0055110B">
      <w:pPr>
        <w:rPr>
          <w:rFonts w:ascii="Times" w:hAnsi="Times"/>
          <w:sz w:val="23"/>
          <w:szCs w:val="23"/>
        </w:rPr>
      </w:pPr>
    </w:p>
    <w:sectPr w:rsidR="0055110B" w:rsidRPr="005511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2F27"/>
    <w:multiLevelType w:val="multilevel"/>
    <w:tmpl w:val="574E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B1931"/>
    <w:multiLevelType w:val="multilevel"/>
    <w:tmpl w:val="328E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F965CB"/>
    <w:multiLevelType w:val="multilevel"/>
    <w:tmpl w:val="AD1E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023898">
    <w:abstractNumId w:val="0"/>
  </w:num>
  <w:num w:numId="2" w16cid:durableId="1537622753">
    <w:abstractNumId w:val="1"/>
  </w:num>
  <w:num w:numId="3" w16cid:durableId="1794202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0B"/>
    <w:rsid w:val="0055110B"/>
    <w:rsid w:val="007F5CE0"/>
    <w:rsid w:val="00EC485E"/>
    <w:rsid w:val="00FF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56A6"/>
  <w15:chartTrackingRefBased/>
  <w15:docId w15:val="{D1147D32-0A2D-3A41-8E8C-A834B914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ghlight">
    <w:name w:val="highlight"/>
    <w:basedOn w:val="Normal"/>
    <w:rsid w:val="0055110B"/>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55110B"/>
    <w:pPr>
      <w:spacing w:before="100" w:beforeAutospacing="1" w:after="100" w:afterAutospacing="1"/>
    </w:pPr>
    <w:rPr>
      <w:rFonts w:ascii="Times New Roman" w:eastAsia="Times New Roman" w:hAnsi="Times New Roman" w:cs="Times New Roman"/>
    </w:rPr>
  </w:style>
  <w:style w:type="character" w:customStyle="1" w:styleId="highlight1">
    <w:name w:val="highlight1"/>
    <w:basedOn w:val="DefaultParagraphFont"/>
    <w:rsid w:val="00551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31960">
      <w:bodyDiv w:val="1"/>
      <w:marLeft w:val="0"/>
      <w:marRight w:val="0"/>
      <w:marTop w:val="0"/>
      <w:marBottom w:val="0"/>
      <w:divBdr>
        <w:top w:val="none" w:sz="0" w:space="0" w:color="auto"/>
        <w:left w:val="none" w:sz="0" w:space="0" w:color="auto"/>
        <w:bottom w:val="none" w:sz="0" w:space="0" w:color="auto"/>
        <w:right w:val="none" w:sz="0" w:space="0" w:color="auto"/>
      </w:divBdr>
    </w:div>
    <w:div w:id="46701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Agency Dispute Letter</dc:title>
  <dc:subject/>
  <dc:creator/>
  <cp:keywords/>
  <dc:description/>
  <cp:lastModifiedBy>Bartholomew, David</cp:lastModifiedBy>
  <cp:revision>4</cp:revision>
  <dcterms:created xsi:type="dcterms:W3CDTF">2023-09-11T22:10:00Z</dcterms:created>
  <dcterms:modified xsi:type="dcterms:W3CDTF">2024-09-13T00:55:00Z</dcterms:modified>
</cp:coreProperties>
</file>